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3D" w:rsidRPr="004942DE" w:rsidRDefault="00C7053D" w:rsidP="00C7053D">
      <w:pPr>
        <w:pStyle w:val="Nadpis2"/>
      </w:pPr>
      <w:bookmarkStart w:id="0" w:name="_Toc401661718"/>
      <w:r w:rsidRPr="004942DE">
        <w:t>Manuál k</w:t>
      </w:r>
      <w:r>
        <w:t> práci s</w:t>
      </w:r>
      <w:r w:rsidRPr="004942DE">
        <w:t> výsledk</w:t>
      </w:r>
      <w:r>
        <w:t>ami modelu VZAM 2.0</w:t>
      </w:r>
      <w:bookmarkEnd w:id="0"/>
    </w:p>
    <w:p w:rsidR="00C7053D" w:rsidRPr="004942DE" w:rsidRDefault="00C7053D" w:rsidP="00C7053D">
      <w:pPr>
        <w:spacing w:line="269" w:lineRule="auto"/>
      </w:pPr>
      <w:r w:rsidRPr="004942DE">
        <w:t xml:space="preserve">Cieľom tohto </w:t>
      </w:r>
      <w:r>
        <w:t>manuálu je poskytnutie návodu k </w:t>
      </w:r>
      <w:r w:rsidRPr="004942DE">
        <w:t>práci s prognózovanými ho</w:t>
      </w:r>
      <w:r w:rsidRPr="004942DE">
        <w:t>d</w:t>
      </w:r>
      <w:r w:rsidRPr="004942DE">
        <w:t>notami ekonomickej aktivity obyvateľstva, zamestnanosti, nezamestnanosti a neaktívneho obyva</w:t>
      </w:r>
      <w:r>
        <w:t>teľstva modelu VZAM 2.0, ktorý</w:t>
      </w:r>
      <w:r w:rsidRPr="004942DE">
        <w:t xml:space="preserve"> bol vypracovaný v rámci riešenia projektu Agentúry pre podporu výskumu a</w:t>
      </w:r>
      <w:r>
        <w:t> </w:t>
      </w:r>
      <w:r w:rsidRPr="004942DE">
        <w:t>vývoja</w:t>
      </w:r>
      <w:r>
        <w:t>,</w:t>
      </w:r>
      <w:r w:rsidRPr="004942DE">
        <w:t xml:space="preserve"> č</w:t>
      </w:r>
      <w:r>
        <w:t>.</w:t>
      </w:r>
      <w:r w:rsidRPr="004942DE">
        <w:t xml:space="preserve"> APVV-0541-10. Výsledky sú prezentované formou 4 </w:t>
      </w:r>
      <w:proofErr w:type="spellStart"/>
      <w:r w:rsidRPr="004942DE">
        <w:t>kontingenčných</w:t>
      </w:r>
      <w:proofErr w:type="spellEnd"/>
      <w:r w:rsidRPr="004942DE">
        <w:t xml:space="preserve"> tabuliek, ktoré zodp</w:t>
      </w:r>
      <w:r w:rsidRPr="004942DE">
        <w:t>o</w:t>
      </w:r>
      <w:r w:rsidRPr="004942DE">
        <w:t xml:space="preserve">vedajú jednotlivým výstupom modelu, 4 skrytých zdrojových tabuliek a posledným hárkom sú vysvetlivky k jednotlivým </w:t>
      </w:r>
      <w:r>
        <w:t xml:space="preserve">hodnotám </w:t>
      </w:r>
      <w:r w:rsidRPr="004942DE">
        <w:t>premenný</w:t>
      </w:r>
      <w:r>
        <w:t>ch</w:t>
      </w:r>
      <w:r w:rsidRPr="004942DE">
        <w:t>. V tejto časti sa budeme konkrétne venovať</w:t>
      </w:r>
      <w:r>
        <w:t xml:space="preserve"> vysvetleniu premenných a ich odvodeniu, nie samo</w:t>
      </w:r>
      <w:r>
        <w:t>t</w:t>
      </w:r>
      <w:r>
        <w:t>nej práci s </w:t>
      </w:r>
      <w:proofErr w:type="spellStart"/>
      <w:r>
        <w:t>kontingenčnými</w:t>
      </w:r>
      <w:proofErr w:type="spellEnd"/>
      <w:r>
        <w:t xml:space="preserve"> tabuľkami, nakoľko ide o štandardné </w:t>
      </w:r>
      <w:proofErr w:type="spellStart"/>
      <w:r>
        <w:t>kontingenčné</w:t>
      </w:r>
      <w:proofErr w:type="spellEnd"/>
      <w:r>
        <w:t xml:space="preserve"> tabuľky</w:t>
      </w:r>
      <w:r w:rsidRPr="004942DE">
        <w:t>. Pre informácie o</w:t>
      </w:r>
      <w:r>
        <w:t> </w:t>
      </w:r>
      <w:r w:rsidRPr="004942DE">
        <w:t>metodike</w:t>
      </w:r>
      <w:r>
        <w:t>,</w:t>
      </w:r>
      <w:r w:rsidRPr="004942DE">
        <w:t xml:space="preserve"> skrývajúcej sa za jednotl</w:t>
      </w:r>
      <w:r w:rsidRPr="004942DE">
        <w:t>i</w:t>
      </w:r>
      <w:r w:rsidRPr="004942DE">
        <w:t>vými tabuľkami</w:t>
      </w:r>
      <w:r>
        <w:t>,</w:t>
      </w:r>
      <w:r w:rsidRPr="004942DE">
        <w:t xml:space="preserve"> odporúčame čitate</w:t>
      </w:r>
      <w:r>
        <w:t>ľovi preštudovať si</w:t>
      </w:r>
      <w:r w:rsidRPr="004942DE">
        <w:t xml:space="preserve"> kapitolu „Modelovanie potrieb slovensk</w:t>
      </w:r>
      <w:r w:rsidRPr="004942DE">
        <w:t>é</w:t>
      </w:r>
      <w:r w:rsidRPr="004942DE">
        <w:t>ho trhu práce v kategóriách vzdelania a povolania“. Významnú úlohu v odhade takmer všetkých indikátorov na trhu práce, okrem zamestnano</w:t>
      </w:r>
      <w:r w:rsidRPr="004942DE">
        <w:t>s</w:t>
      </w:r>
      <w:r w:rsidRPr="004942DE">
        <w:t>ti</w:t>
      </w:r>
      <w:r>
        <w:t>, kde dopyt po pracovnej sile je dan</w:t>
      </w:r>
      <w:r>
        <w:rPr>
          <w:rFonts w:eastAsiaTheme="minorEastAsia"/>
          <w:lang w:eastAsia="ja-JP"/>
        </w:rPr>
        <w:t>ý exogénne</w:t>
      </w:r>
      <w:r w:rsidRPr="004942DE">
        <w:t>, tvoria scenáre variantného vývoja veku odch</w:t>
      </w:r>
      <w:r w:rsidRPr="004942DE">
        <w:t>o</w:t>
      </w:r>
      <w:r w:rsidRPr="004942DE">
        <w:t xml:space="preserve">du do dôchodku. Pri scenári </w:t>
      </w:r>
      <w:r w:rsidRPr="00582214">
        <w:rPr>
          <w:i/>
        </w:rPr>
        <w:t>ea62</w:t>
      </w:r>
      <w:r>
        <w:t xml:space="preserve">, </w:t>
      </w:r>
      <w:r w:rsidRPr="00582214">
        <w:rPr>
          <w:i/>
        </w:rPr>
        <w:t>odh62</w:t>
      </w:r>
      <w:r w:rsidRPr="004942DE">
        <w:t xml:space="preserve"> </w:t>
      </w:r>
      <w:r>
        <w:t>je</w:t>
      </w:r>
      <w:r w:rsidRPr="004942DE">
        <w:t xml:space="preserve"> predpoklad ust</w:t>
      </w:r>
      <w:r w:rsidRPr="004942DE">
        <w:t>á</w:t>
      </w:r>
      <w:r w:rsidRPr="004942DE">
        <w:t>leni</w:t>
      </w:r>
      <w:r>
        <w:t>a</w:t>
      </w:r>
      <w:r w:rsidRPr="004942DE">
        <w:t xml:space="preserve"> veku odchodu do dôchodku pre obe pohlavia vo veku 62 rokov. Pri scenári </w:t>
      </w:r>
      <w:r w:rsidRPr="00582214">
        <w:rPr>
          <w:i/>
        </w:rPr>
        <w:t>ea65</w:t>
      </w:r>
      <w:r>
        <w:t xml:space="preserve">, </w:t>
      </w:r>
      <w:r w:rsidRPr="00582214">
        <w:rPr>
          <w:i/>
        </w:rPr>
        <w:t>odh65</w:t>
      </w:r>
      <w:r w:rsidRPr="004942DE">
        <w:t xml:space="preserve"> je predpoklad postupného zvýšenia veku o</w:t>
      </w:r>
      <w:r>
        <w:t xml:space="preserve">dchodu do dôchodku vo veku 65 rokov a </w:t>
      </w:r>
      <w:r w:rsidRPr="004942DE">
        <w:t xml:space="preserve">obdobne to platí pre scenár </w:t>
      </w:r>
      <w:r w:rsidRPr="00582214">
        <w:rPr>
          <w:i/>
        </w:rPr>
        <w:t>ea70</w:t>
      </w:r>
      <w:r w:rsidRPr="004942DE">
        <w:t xml:space="preserve">, </w:t>
      </w:r>
      <w:r w:rsidRPr="00582214">
        <w:rPr>
          <w:i/>
        </w:rPr>
        <w:t>odh70</w:t>
      </w:r>
      <w:r>
        <w:t xml:space="preserve">. Pre podrobnejšie informácie o </w:t>
      </w:r>
      <w:r w:rsidRPr="004942DE">
        <w:t>jednotl</w:t>
      </w:r>
      <w:r w:rsidRPr="004942DE">
        <w:t>i</w:t>
      </w:r>
      <w:r w:rsidRPr="004942DE">
        <w:t xml:space="preserve">vých scenároch odporúčame čitateľovi článok (Bujňáková </w:t>
      </w:r>
      <w:r>
        <w:t>a </w:t>
      </w:r>
      <w:r w:rsidRPr="004942DE">
        <w:t>Štefánik, 2013).</w:t>
      </w:r>
    </w:p>
    <w:p w:rsidR="00C7053D" w:rsidRPr="004942DE" w:rsidRDefault="00C7053D" w:rsidP="00C7053D">
      <w:pPr>
        <w:pStyle w:val="Nadpis3"/>
      </w:pPr>
      <w:r w:rsidRPr="004942DE">
        <w:t>Výsledky modulu EA</w:t>
      </w:r>
    </w:p>
    <w:p w:rsidR="00C7053D" w:rsidRDefault="00C7053D" w:rsidP="00C7053D">
      <w:pPr>
        <w:spacing w:line="269" w:lineRule="auto"/>
        <w:rPr>
          <w:rFonts w:eastAsia="Times New Roman" w:cs="Times New Roman"/>
          <w:color w:val="000000"/>
          <w:szCs w:val="24"/>
        </w:rPr>
      </w:pPr>
      <w:r w:rsidRPr="00582214">
        <w:rPr>
          <w:rFonts w:eastAsia="Times New Roman" w:cs="Times New Roman"/>
          <w:color w:val="000000"/>
          <w:szCs w:val="24"/>
        </w:rPr>
        <w:t>V</w:t>
      </w:r>
      <w:r>
        <w:rPr>
          <w:rFonts w:eastAsia="Times New Roman" w:cs="Times New Roman"/>
          <w:color w:val="000000"/>
          <w:szCs w:val="24"/>
        </w:rPr>
        <w:t> </w:t>
      </w:r>
      <w:r w:rsidRPr="00582214">
        <w:rPr>
          <w:rFonts w:eastAsia="Times New Roman" w:cs="Times New Roman"/>
          <w:color w:val="000000"/>
          <w:szCs w:val="24"/>
        </w:rPr>
        <w:t xml:space="preserve">prvej </w:t>
      </w:r>
      <w:proofErr w:type="spellStart"/>
      <w:r w:rsidRPr="00582214">
        <w:rPr>
          <w:rFonts w:eastAsia="Times New Roman" w:cs="Times New Roman"/>
          <w:color w:val="000000"/>
          <w:szCs w:val="24"/>
        </w:rPr>
        <w:t>kontingenčnej</w:t>
      </w:r>
      <w:proofErr w:type="spellEnd"/>
      <w:r w:rsidRPr="00582214">
        <w:rPr>
          <w:rFonts w:eastAsia="Times New Roman" w:cs="Times New Roman"/>
          <w:color w:val="000000"/>
          <w:szCs w:val="24"/>
        </w:rPr>
        <w:t xml:space="preserve"> tabuľke sú prezentované výsledky modulu slúžiaceho na odhad ekonomickej aktivity obyvateľstva. V tejto tabuľke je možné prezerať výsledky pre ro</w:t>
      </w:r>
      <w:r>
        <w:rPr>
          <w:rFonts w:eastAsia="Times New Roman" w:cs="Times New Roman"/>
          <w:color w:val="000000"/>
          <w:szCs w:val="24"/>
        </w:rPr>
        <w:t xml:space="preserve">ky 1998 až 2025 podľa zvolenej </w:t>
      </w:r>
      <w:r w:rsidRPr="00582214">
        <w:rPr>
          <w:rFonts w:eastAsia="Times New Roman" w:cs="Times New Roman"/>
          <w:color w:val="000000"/>
          <w:szCs w:val="24"/>
        </w:rPr>
        <w:t>kombinácie demografic</w:t>
      </w:r>
      <w:r>
        <w:rPr>
          <w:rFonts w:eastAsia="Times New Roman" w:cs="Times New Roman"/>
          <w:color w:val="000000"/>
          <w:szCs w:val="24"/>
        </w:rPr>
        <w:t>kých charakteristík:</w:t>
      </w:r>
      <w:r w:rsidRPr="00582214">
        <w:rPr>
          <w:rFonts w:eastAsia="Times New Roman" w:cs="Times New Roman"/>
          <w:color w:val="000000"/>
          <w:szCs w:val="24"/>
        </w:rPr>
        <w:t xml:space="preserve"> pohlavie (premenná </w:t>
      </w:r>
      <w:proofErr w:type="spellStart"/>
      <w:r w:rsidRPr="00582214">
        <w:rPr>
          <w:rFonts w:eastAsia="Times New Roman" w:cs="Times New Roman"/>
          <w:i/>
          <w:color w:val="000000"/>
          <w:szCs w:val="24"/>
        </w:rPr>
        <w:t>pohl</w:t>
      </w:r>
      <w:proofErr w:type="spellEnd"/>
      <w:r w:rsidRPr="00582214">
        <w:rPr>
          <w:rFonts w:eastAsia="Times New Roman" w:cs="Times New Roman"/>
          <w:color w:val="000000"/>
          <w:szCs w:val="24"/>
        </w:rPr>
        <w:t xml:space="preserve">), </w:t>
      </w:r>
      <w:r w:rsidRPr="00582214">
        <w:rPr>
          <w:rFonts w:eastAsia="Times New Roman" w:cs="Times New Roman"/>
          <w:i/>
          <w:color w:val="000000"/>
          <w:szCs w:val="24"/>
        </w:rPr>
        <w:t>kraj</w:t>
      </w:r>
      <w:r w:rsidRPr="00582214">
        <w:rPr>
          <w:rFonts w:eastAsia="Times New Roman" w:cs="Times New Roman"/>
          <w:color w:val="000000"/>
          <w:szCs w:val="24"/>
        </w:rPr>
        <w:t xml:space="preserve">, veková skupina (premenná </w:t>
      </w:r>
      <w:proofErr w:type="spellStart"/>
      <w:r w:rsidRPr="00582214">
        <w:rPr>
          <w:rFonts w:eastAsia="Times New Roman" w:cs="Times New Roman"/>
          <w:i/>
          <w:color w:val="000000"/>
          <w:szCs w:val="24"/>
        </w:rPr>
        <w:t>veksk</w:t>
      </w:r>
      <w:proofErr w:type="spellEnd"/>
      <w:r w:rsidRPr="00582214">
        <w:rPr>
          <w:rFonts w:eastAsia="Times New Roman" w:cs="Times New Roman"/>
          <w:color w:val="000000"/>
          <w:szCs w:val="24"/>
        </w:rPr>
        <w:t>) a vzdelania (premenná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82214">
        <w:rPr>
          <w:rFonts w:eastAsia="Times New Roman" w:cs="Times New Roman"/>
          <w:i/>
          <w:color w:val="000000"/>
          <w:szCs w:val="24"/>
        </w:rPr>
        <w:t>edu4</w:t>
      </w:r>
      <w:r w:rsidRPr="00582214">
        <w:rPr>
          <w:rFonts w:eastAsia="Times New Roman" w:cs="Times New Roman"/>
          <w:color w:val="000000"/>
          <w:szCs w:val="24"/>
        </w:rPr>
        <w:t>). Ďalšími stĺpcami v tabuľke sú alternatívne hodn</w:t>
      </w:r>
      <w:r w:rsidRPr="00582214">
        <w:rPr>
          <w:rFonts w:eastAsia="Times New Roman" w:cs="Times New Roman"/>
          <w:color w:val="000000"/>
          <w:szCs w:val="24"/>
        </w:rPr>
        <w:t>o</w:t>
      </w:r>
      <w:r w:rsidRPr="00582214">
        <w:rPr>
          <w:rFonts w:eastAsia="Times New Roman" w:cs="Times New Roman"/>
          <w:color w:val="000000"/>
          <w:szCs w:val="24"/>
        </w:rPr>
        <w:t>ty ekonomickej aktivity</w:t>
      </w:r>
      <w:r>
        <w:rPr>
          <w:rFonts w:eastAsia="Times New Roman" w:cs="Times New Roman"/>
          <w:color w:val="000000"/>
          <w:szCs w:val="24"/>
        </w:rPr>
        <w:t>,</w:t>
      </w:r>
      <w:r w:rsidRPr="0058221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v závislosti od scenára </w:t>
      </w:r>
      <w:r w:rsidRPr="00582214">
        <w:rPr>
          <w:rFonts w:eastAsia="Times New Roman" w:cs="Times New Roman"/>
          <w:i/>
          <w:color w:val="000000"/>
          <w:szCs w:val="24"/>
        </w:rPr>
        <w:t>ea62, ea65</w:t>
      </w:r>
      <w:r w:rsidRPr="00582214">
        <w:rPr>
          <w:rFonts w:eastAsia="Times New Roman" w:cs="Times New Roman"/>
          <w:color w:val="000000"/>
          <w:szCs w:val="24"/>
        </w:rPr>
        <w:t xml:space="preserve"> a </w:t>
      </w:r>
      <w:r w:rsidRPr="00582214">
        <w:rPr>
          <w:rFonts w:eastAsia="Times New Roman" w:cs="Times New Roman"/>
          <w:i/>
          <w:color w:val="000000"/>
          <w:szCs w:val="24"/>
        </w:rPr>
        <w:t>ea70</w:t>
      </w:r>
      <w:r w:rsidRPr="00582214">
        <w:rPr>
          <w:rFonts w:eastAsia="Times New Roman" w:cs="Times New Roman"/>
          <w:color w:val="000000"/>
          <w:szCs w:val="24"/>
        </w:rPr>
        <w:t>. Posledným stĺpcom v tabuľke je premenná zobrazujúca historické údaje pre danú kombin</w:t>
      </w:r>
      <w:r w:rsidRPr="00582214">
        <w:rPr>
          <w:rFonts w:eastAsia="Times New Roman" w:cs="Times New Roman"/>
          <w:color w:val="000000"/>
          <w:szCs w:val="24"/>
        </w:rPr>
        <w:t>á</w:t>
      </w:r>
      <w:r w:rsidRPr="00582214">
        <w:rPr>
          <w:rFonts w:eastAsia="Times New Roman" w:cs="Times New Roman"/>
          <w:color w:val="000000"/>
          <w:szCs w:val="24"/>
        </w:rPr>
        <w:t>ciu demografických charakteristík. Pre ľahšiu orientáciu v nasledujúcich tabu</w:t>
      </w:r>
      <w:r w:rsidRPr="00582214">
        <w:rPr>
          <w:rFonts w:eastAsia="Times New Roman" w:cs="Times New Roman"/>
          <w:color w:val="000000"/>
          <w:szCs w:val="24"/>
        </w:rPr>
        <w:t>ľ</w:t>
      </w:r>
      <w:r w:rsidRPr="00582214">
        <w:rPr>
          <w:rFonts w:eastAsia="Times New Roman" w:cs="Times New Roman"/>
          <w:color w:val="000000"/>
          <w:szCs w:val="24"/>
        </w:rPr>
        <w:t xml:space="preserve">kách uvedieme význam jednotlivých kategorizačných premenných. </w:t>
      </w:r>
    </w:p>
    <w:p w:rsidR="00C7053D" w:rsidRDefault="00C7053D" w:rsidP="00C7053D">
      <w:pPr>
        <w:spacing w:line="269" w:lineRule="auto"/>
        <w:rPr>
          <w:rFonts w:eastAsia="Times New Roman" w:cs="Times New Roman"/>
          <w:color w:val="000000"/>
          <w:szCs w:val="24"/>
        </w:rPr>
      </w:pPr>
      <w:r w:rsidRPr="00582214">
        <w:rPr>
          <w:rFonts w:eastAsia="Times New Roman" w:cs="Times New Roman"/>
          <w:color w:val="000000"/>
          <w:szCs w:val="24"/>
        </w:rPr>
        <w:t xml:space="preserve">Interpretácia premennej </w:t>
      </w:r>
      <w:r w:rsidRPr="00582214">
        <w:rPr>
          <w:rFonts w:eastAsia="Times New Roman" w:cs="Times New Roman"/>
          <w:i/>
          <w:color w:val="000000"/>
          <w:szCs w:val="24"/>
        </w:rPr>
        <w:t>rok</w:t>
      </w:r>
      <w:r w:rsidRPr="00582214">
        <w:rPr>
          <w:rFonts w:eastAsia="Times New Roman" w:cs="Times New Roman"/>
          <w:color w:val="000000"/>
          <w:szCs w:val="24"/>
        </w:rPr>
        <w:t xml:space="preserve"> je jasná, jednotlivé hod</w:t>
      </w:r>
      <w:r>
        <w:rPr>
          <w:rFonts w:eastAsia="Times New Roman" w:cs="Times New Roman"/>
          <w:color w:val="000000"/>
          <w:szCs w:val="24"/>
        </w:rPr>
        <w:t>noty zodpovedajú obd</w:t>
      </w:r>
      <w:r>
        <w:rPr>
          <w:rFonts w:eastAsia="Times New Roman" w:cs="Times New Roman"/>
          <w:color w:val="000000"/>
          <w:szCs w:val="24"/>
        </w:rPr>
        <w:t>o</w:t>
      </w:r>
      <w:r>
        <w:rPr>
          <w:rFonts w:eastAsia="Times New Roman" w:cs="Times New Roman"/>
          <w:color w:val="000000"/>
          <w:szCs w:val="24"/>
        </w:rPr>
        <w:t>biu od</w:t>
      </w:r>
      <w:r w:rsidRPr="00582214">
        <w:rPr>
          <w:rFonts w:eastAsia="Times New Roman" w:cs="Times New Roman"/>
          <w:color w:val="000000"/>
          <w:szCs w:val="24"/>
        </w:rPr>
        <w:t xml:space="preserve"> 1998 až do roku 2025.</w:t>
      </w:r>
    </w:p>
    <w:p w:rsidR="00C7053D" w:rsidRPr="00582214" w:rsidRDefault="00C7053D" w:rsidP="00C7053D">
      <w:pPr>
        <w:spacing w:line="252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 w:type="column"/>
      </w:r>
      <w:r w:rsidRPr="00582214">
        <w:rPr>
          <w:rFonts w:eastAsia="Times New Roman" w:cs="Times New Roman"/>
          <w:color w:val="000000"/>
          <w:szCs w:val="24"/>
        </w:rPr>
        <w:lastRenderedPageBreak/>
        <w:t xml:space="preserve">Premenná </w:t>
      </w:r>
      <w:proofErr w:type="spellStart"/>
      <w:r w:rsidRPr="00582214">
        <w:rPr>
          <w:rFonts w:eastAsia="Times New Roman" w:cs="Times New Roman"/>
          <w:i/>
          <w:color w:val="000000"/>
          <w:szCs w:val="24"/>
        </w:rPr>
        <w:t>pohl</w:t>
      </w:r>
      <w:proofErr w:type="spellEnd"/>
      <w:r>
        <w:rPr>
          <w:rFonts w:eastAsia="Times New Roman" w:cs="Times New Roman"/>
          <w:i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ktorá vyjadruje pohlavie, </w:t>
      </w:r>
      <w:r w:rsidRPr="00582214">
        <w:rPr>
          <w:rFonts w:eastAsia="Times New Roman" w:cs="Times New Roman"/>
          <w:color w:val="000000"/>
          <w:szCs w:val="24"/>
        </w:rPr>
        <w:t>nadobúda dve hodnoty:</w:t>
      </w:r>
    </w:p>
    <w:p w:rsidR="00C7053D" w:rsidRPr="008F4F95" w:rsidRDefault="00C7053D" w:rsidP="00C7053D">
      <w:pPr>
        <w:pStyle w:val="Nadpis6"/>
        <w:spacing w:before="340"/>
        <w:ind w:left="1247" w:hanging="1247"/>
      </w:pPr>
      <w:r w:rsidRPr="008F4F95">
        <w:t>T a b u ľ k a</w:t>
      </w:r>
      <w:r w:rsidRPr="008F4F95">
        <w:tab/>
      </w:r>
      <w:r>
        <w:t>1</w:t>
      </w:r>
    </w:p>
    <w:p w:rsidR="00C7053D" w:rsidRDefault="00C7053D" w:rsidP="00C7053D">
      <w:pPr>
        <w:pStyle w:val="Nadpis5"/>
        <w:rPr>
          <w:rFonts w:eastAsia="Times New Roman" w:cs="Times New Roman"/>
          <w:color w:val="000000"/>
          <w:szCs w:val="24"/>
        </w:rPr>
      </w:pPr>
      <w:bookmarkStart w:id="1" w:name="_Toc401662860"/>
      <w:r w:rsidRPr="00582214">
        <w:rPr>
          <w:rFonts w:eastAsia="Times New Roman" w:cs="Times New Roman"/>
          <w:color w:val="000000"/>
          <w:szCs w:val="24"/>
        </w:rPr>
        <w:t xml:space="preserve">Hodnoty premennej </w:t>
      </w:r>
      <w:proofErr w:type="spellStart"/>
      <w:r w:rsidRPr="00582214">
        <w:rPr>
          <w:rFonts w:eastAsia="Times New Roman" w:cs="Times New Roman"/>
          <w:color w:val="000000"/>
          <w:szCs w:val="24"/>
        </w:rPr>
        <w:t>pohl</w:t>
      </w:r>
      <w:bookmarkEnd w:id="1"/>
      <w:proofErr w:type="spellEnd"/>
    </w:p>
    <w:tbl>
      <w:tblPr>
        <w:tblStyle w:val="Mriekatabuky"/>
        <w:tblW w:w="3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9"/>
      </w:tblGrid>
      <w:tr w:rsidR="00C7053D" w:rsidRPr="00B45DA3" w:rsidTr="007804ED">
        <w:trPr>
          <w:trHeight w:val="17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45DA3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45DA3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C7053D" w:rsidRPr="00B45DA3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C7053D" w:rsidRPr="00B45DA3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Muž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tcBorders>
              <w:top w:val="dotted" w:sz="4" w:space="0" w:color="auto"/>
            </w:tcBorders>
            <w:noWrap/>
            <w:hideMark/>
          </w:tcPr>
          <w:p w:rsidR="00C7053D" w:rsidRPr="00B45DA3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noWrap/>
            <w:hideMark/>
          </w:tcPr>
          <w:p w:rsidR="00C7053D" w:rsidRPr="00B45DA3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DA3">
              <w:rPr>
                <w:rFonts w:eastAsia="Times New Roman" w:cs="Times New Roman"/>
                <w:color w:val="000000"/>
                <w:sz w:val="18"/>
                <w:szCs w:val="18"/>
              </w:rPr>
              <w:t>Žena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VZPS.</w:t>
      </w:r>
    </w:p>
    <w:p w:rsidR="00C7053D" w:rsidRDefault="00C7053D" w:rsidP="00C7053D">
      <w:pPr>
        <w:spacing w:line="252" w:lineRule="auto"/>
      </w:pPr>
      <w:r>
        <w:t xml:space="preserve">Hodnoty premennej </w:t>
      </w:r>
      <w:r>
        <w:rPr>
          <w:i/>
        </w:rPr>
        <w:t>kraj</w:t>
      </w:r>
      <w:r>
        <w:t xml:space="preserve"> zodpovedajú 8 krajom Slovenska v nasledujúcom poradí:</w:t>
      </w:r>
    </w:p>
    <w:p w:rsidR="00C7053D" w:rsidRPr="008F4F95" w:rsidRDefault="00C7053D" w:rsidP="00C7053D">
      <w:pPr>
        <w:pStyle w:val="Nadpis6"/>
        <w:spacing w:before="340"/>
        <w:ind w:left="1247" w:hanging="1247"/>
      </w:pPr>
      <w:r w:rsidRPr="008F4F95">
        <w:t>T a b u ľ k a</w:t>
      </w:r>
      <w:r w:rsidRPr="008F4F95">
        <w:tab/>
      </w:r>
      <w:r>
        <w:t>2</w:t>
      </w:r>
    </w:p>
    <w:p w:rsidR="00C7053D" w:rsidRPr="004F042E" w:rsidRDefault="00C7053D" w:rsidP="00C7053D">
      <w:pPr>
        <w:pStyle w:val="Nadpis5"/>
      </w:pPr>
      <w:bookmarkStart w:id="2" w:name="_Toc401662861"/>
      <w:r w:rsidRPr="00582214">
        <w:rPr>
          <w:rFonts w:eastAsia="Times New Roman" w:cs="Times New Roman"/>
          <w:color w:val="000000"/>
          <w:szCs w:val="24"/>
        </w:rPr>
        <w:t>Hodnoty premennej kraj</w:t>
      </w:r>
      <w:bookmarkEnd w:id="2"/>
    </w:p>
    <w:tbl>
      <w:tblPr>
        <w:tblStyle w:val="Mriekatabuky"/>
        <w:tblW w:w="3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9"/>
      </w:tblGrid>
      <w:tr w:rsidR="00C7053D" w:rsidRPr="00B45DA3" w:rsidTr="007804ED">
        <w:trPr>
          <w:trHeight w:val="17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586A6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tcBorders>
              <w:top w:val="single" w:sz="12" w:space="0" w:color="auto"/>
            </w:tcBorders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Bratislavský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Trnavský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Trenčiansky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Nitriansky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Žilinský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Banskobystrický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Prešovský kraj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567" w:type="dxa"/>
            <w:noWrap/>
          </w:tcPr>
          <w:p w:rsidR="00C7053D" w:rsidRPr="00586A6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noWrap/>
          </w:tcPr>
          <w:p w:rsidR="00C7053D" w:rsidRPr="00586A6F" w:rsidRDefault="00C7053D" w:rsidP="007804ED">
            <w:pPr>
              <w:spacing w:line="240" w:lineRule="auto"/>
              <w:ind w:left="113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A6F">
              <w:rPr>
                <w:rFonts w:eastAsia="Times New Roman" w:cs="Times New Roman"/>
                <w:color w:val="000000"/>
                <w:sz w:val="18"/>
                <w:szCs w:val="18"/>
              </w:rPr>
              <w:t>Košický kraj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VZPS.</w:t>
      </w:r>
    </w:p>
    <w:p w:rsidR="00C7053D" w:rsidRDefault="00C7053D" w:rsidP="00C7053D">
      <w:pPr>
        <w:spacing w:line="252" w:lineRule="auto"/>
      </w:pPr>
      <w:r>
        <w:t>Vekové skupiny takisto zodpovedajú rozdeleniu veku podľa metodiky VZPS na 5-ročné vekové skupiny, a to konkrétne:</w:t>
      </w:r>
    </w:p>
    <w:p w:rsidR="00C7053D" w:rsidRPr="008F4F95" w:rsidRDefault="00C7053D" w:rsidP="00C7053D">
      <w:pPr>
        <w:pStyle w:val="Nadpis6"/>
        <w:spacing w:before="340"/>
        <w:ind w:left="1247" w:hanging="1247"/>
      </w:pPr>
      <w:r w:rsidRPr="008F4F95">
        <w:t>T a b u ľ k a</w:t>
      </w:r>
      <w:r w:rsidRPr="008F4F95">
        <w:tab/>
      </w:r>
      <w:r>
        <w:t>3</w:t>
      </w:r>
    </w:p>
    <w:p w:rsidR="00C7053D" w:rsidRPr="004F042E" w:rsidRDefault="00C7053D" w:rsidP="00C7053D">
      <w:pPr>
        <w:pStyle w:val="Nadpis5"/>
      </w:pPr>
      <w:bookmarkStart w:id="3" w:name="_Toc401662862"/>
      <w:r w:rsidRPr="00582214">
        <w:rPr>
          <w:rFonts w:eastAsia="Times New Roman" w:cs="Times New Roman"/>
          <w:color w:val="000000"/>
          <w:szCs w:val="24"/>
        </w:rPr>
        <w:t xml:space="preserve">Hodnoty premennej </w:t>
      </w:r>
      <w:r>
        <w:rPr>
          <w:rFonts w:eastAsia="Times New Roman" w:cs="Times New Roman"/>
          <w:color w:val="000000"/>
          <w:szCs w:val="24"/>
        </w:rPr>
        <w:t>vek</w:t>
      </w:r>
      <w:bookmarkEnd w:id="3"/>
    </w:p>
    <w:tbl>
      <w:tblPr>
        <w:tblStyle w:val="Mriekatabuky"/>
        <w:tblW w:w="3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9"/>
      </w:tblGrid>
      <w:tr w:rsidR="00C7053D" w:rsidRPr="00B45DA3" w:rsidTr="007804ED">
        <w:trPr>
          <w:trHeight w:val="17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tcBorders>
              <w:top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15-19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20-24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25-29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30-34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35-39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40-44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45-49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50-54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55-59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60-64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65-69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70-74 rokov</w:t>
            </w:r>
          </w:p>
        </w:tc>
      </w:tr>
      <w:tr w:rsidR="00C7053D" w:rsidRPr="00B45DA3" w:rsidTr="007804ED">
        <w:trPr>
          <w:trHeight w:val="170"/>
          <w:jc w:val="center"/>
        </w:trPr>
        <w:tc>
          <w:tcPr>
            <w:tcW w:w="680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22" w:type="dxa"/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75 a viac rokov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VZPS.</w:t>
      </w:r>
    </w:p>
    <w:p w:rsidR="00C7053D" w:rsidRDefault="00C7053D" w:rsidP="00C7053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 w:type="column"/>
      </w:r>
      <w:r>
        <w:rPr>
          <w:rFonts w:eastAsia="Times New Roman" w:cs="Times New Roman"/>
          <w:color w:val="000000"/>
          <w:szCs w:val="24"/>
        </w:rPr>
        <w:lastRenderedPageBreak/>
        <w:t xml:space="preserve">Kategorizačná premenná </w:t>
      </w:r>
      <w:r>
        <w:rPr>
          <w:rFonts w:eastAsia="Times New Roman" w:cs="Times New Roman"/>
          <w:i/>
          <w:color w:val="000000"/>
          <w:szCs w:val="24"/>
        </w:rPr>
        <w:t xml:space="preserve">edu4 </w:t>
      </w:r>
      <w:r>
        <w:rPr>
          <w:rFonts w:eastAsia="Times New Roman" w:cs="Times New Roman"/>
          <w:color w:val="000000"/>
          <w:szCs w:val="24"/>
        </w:rPr>
        <w:t>je výsledkom agregovania stupňa najvyššieho dosiahnutého vzdelania do 4 skupín:</w:t>
      </w:r>
    </w:p>
    <w:p w:rsidR="00C7053D" w:rsidRPr="008F4F95" w:rsidRDefault="00C7053D" w:rsidP="00C7053D">
      <w:pPr>
        <w:pStyle w:val="Nadpis6"/>
        <w:ind w:left="1247" w:hanging="1247"/>
      </w:pPr>
      <w:r w:rsidRPr="008F4F95">
        <w:t>T a b u ľ k a</w:t>
      </w:r>
      <w:r w:rsidRPr="008F4F95">
        <w:tab/>
      </w:r>
      <w:r>
        <w:t>4</w:t>
      </w:r>
    </w:p>
    <w:p w:rsidR="00C7053D" w:rsidRPr="004F042E" w:rsidRDefault="00C7053D" w:rsidP="00C7053D">
      <w:pPr>
        <w:pStyle w:val="Nadpis5"/>
      </w:pPr>
      <w:bookmarkStart w:id="4" w:name="_Toc401662863"/>
      <w:r w:rsidRPr="00582214">
        <w:rPr>
          <w:rFonts w:eastAsia="Times New Roman" w:cs="Times New Roman"/>
          <w:color w:val="000000"/>
          <w:szCs w:val="24"/>
        </w:rPr>
        <w:t xml:space="preserve">Hodnoty premennej </w:t>
      </w:r>
      <w:r>
        <w:rPr>
          <w:rFonts w:eastAsia="Times New Roman" w:cs="Times New Roman"/>
          <w:color w:val="000000"/>
          <w:szCs w:val="24"/>
        </w:rPr>
        <w:t>edu4</w:t>
      </w:r>
      <w:bookmarkEnd w:id="4"/>
    </w:p>
    <w:tbl>
      <w:tblPr>
        <w:tblStyle w:val="Mriekatabuky"/>
        <w:tblW w:w="3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9"/>
      </w:tblGrid>
      <w:tr w:rsidR="00C7053D" w:rsidRPr="00B45DA3" w:rsidTr="007804ED">
        <w:trPr>
          <w:trHeight w:val="22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680" w:type="dxa"/>
            <w:tcBorders>
              <w:top w:val="single" w:sz="12" w:space="0" w:color="auto"/>
            </w:tcBorders>
            <w:noWrap/>
          </w:tcPr>
          <w:p w:rsidR="00C7053D" w:rsidRPr="007320D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Základné vzdelanie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680" w:type="dxa"/>
            <w:noWrap/>
          </w:tcPr>
          <w:p w:rsidR="00C7053D" w:rsidRPr="007320D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22" w:type="dxa"/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Stredoškolské vzdelanie bez maturity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680" w:type="dxa"/>
            <w:noWrap/>
          </w:tcPr>
          <w:p w:rsidR="00C7053D" w:rsidRPr="007320D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22" w:type="dxa"/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Úplné stredoškolské vzdelanie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680" w:type="dxa"/>
            <w:noWrap/>
          </w:tcPr>
          <w:p w:rsidR="00C7053D" w:rsidRPr="007320DF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22" w:type="dxa"/>
            <w:noWrap/>
          </w:tcPr>
          <w:p w:rsidR="00C7053D" w:rsidRPr="007320DF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20DF">
              <w:rPr>
                <w:rFonts w:eastAsia="Times New Roman" w:cs="Times New Roman"/>
                <w:color w:val="000000"/>
                <w:sz w:val="18"/>
                <w:szCs w:val="18"/>
              </w:rPr>
              <w:t>Vysokoškolské vzdelanie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VZPS.</w:t>
      </w:r>
    </w:p>
    <w:p w:rsidR="00C7053D" w:rsidRPr="004942DE" w:rsidRDefault="00C7053D" w:rsidP="00C7053D">
      <w:pPr>
        <w:pStyle w:val="Nadpis3"/>
      </w:pPr>
      <w:r>
        <w:t>Výsledky modulu EMPL</w:t>
      </w:r>
    </w:p>
    <w:p w:rsidR="00C7053D" w:rsidRDefault="00C7053D" w:rsidP="00C7053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Druhou tabuľkou sú výsledky odhadu modulu EMPL, čiže odhadu zamestn</w:t>
      </w:r>
      <w:r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</w:rPr>
        <w:t>nosti. Odhady zamestnanosti je opäť možné porovnávať s historickými hodn</w:t>
      </w:r>
      <w:r>
        <w:rPr>
          <w:rFonts w:eastAsia="Times New Roman" w:cs="Times New Roman"/>
          <w:color w:val="000000"/>
          <w:szCs w:val="24"/>
        </w:rPr>
        <w:t>o</w:t>
      </w:r>
      <w:r>
        <w:rPr>
          <w:rFonts w:eastAsia="Times New Roman" w:cs="Times New Roman"/>
          <w:color w:val="000000"/>
          <w:szCs w:val="24"/>
        </w:rPr>
        <w:t xml:space="preserve">tami (premenná </w:t>
      </w:r>
      <w:proofErr w:type="spellStart"/>
      <w:r>
        <w:rPr>
          <w:rFonts w:eastAsia="Times New Roman" w:cs="Times New Roman"/>
          <w:i/>
          <w:color w:val="000000"/>
          <w:szCs w:val="24"/>
        </w:rPr>
        <w:t>realne_data</w:t>
      </w:r>
      <w:proofErr w:type="spellEnd"/>
      <w:r>
        <w:rPr>
          <w:rFonts w:eastAsia="Times New Roman" w:cs="Times New Roman"/>
          <w:color w:val="000000"/>
          <w:szCs w:val="24"/>
        </w:rPr>
        <w:t>) podľa vzdelania (</w:t>
      </w:r>
      <w:r>
        <w:rPr>
          <w:rFonts w:eastAsia="Times New Roman" w:cs="Times New Roman"/>
          <w:i/>
          <w:color w:val="000000"/>
          <w:szCs w:val="24"/>
        </w:rPr>
        <w:t>edu4</w:t>
      </w:r>
      <w:r>
        <w:rPr>
          <w:rFonts w:eastAsia="Times New Roman" w:cs="Times New Roman"/>
          <w:color w:val="000000"/>
          <w:szCs w:val="24"/>
        </w:rPr>
        <w:t>), povolania (</w:t>
      </w:r>
      <w:r w:rsidRPr="00C44506">
        <w:rPr>
          <w:rFonts w:eastAsia="Times New Roman" w:cs="Times New Roman"/>
          <w:i/>
          <w:color w:val="000000"/>
          <w:szCs w:val="24"/>
        </w:rPr>
        <w:t>isco1</w:t>
      </w:r>
      <w:r>
        <w:rPr>
          <w:rFonts w:eastAsia="Times New Roman" w:cs="Times New Roman"/>
          <w:color w:val="000000"/>
          <w:szCs w:val="24"/>
        </w:rPr>
        <w:t>) a ek</w:t>
      </w:r>
      <w:r>
        <w:rPr>
          <w:rFonts w:eastAsia="Times New Roman" w:cs="Times New Roman"/>
          <w:color w:val="000000"/>
          <w:szCs w:val="24"/>
        </w:rPr>
        <w:t>o</w:t>
      </w:r>
      <w:r>
        <w:rPr>
          <w:rFonts w:eastAsia="Times New Roman" w:cs="Times New Roman"/>
          <w:color w:val="000000"/>
          <w:szCs w:val="24"/>
        </w:rPr>
        <w:t>nomického sektora (</w:t>
      </w:r>
      <w:r w:rsidRPr="00C44506">
        <w:rPr>
          <w:rFonts w:eastAsia="Times New Roman" w:cs="Times New Roman"/>
          <w:i/>
          <w:color w:val="000000"/>
          <w:szCs w:val="24"/>
        </w:rPr>
        <w:t>sektor_20)</w:t>
      </w:r>
      <w:r>
        <w:rPr>
          <w:rFonts w:eastAsia="Times New Roman" w:cs="Times New Roman"/>
          <w:color w:val="000000"/>
          <w:szCs w:val="24"/>
        </w:rPr>
        <w:t>. Číslovanie povolaní zodpovedá hlavným tri</w:t>
      </w:r>
      <w:r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>dam medzinárodnej štandardizovanej klasifikácie povolaní ISCO 08</w:t>
      </w:r>
      <w:r>
        <w:rPr>
          <w:rStyle w:val="Odkaznapoznmkupodiarou"/>
          <w:rFonts w:eastAsia="Times New Roman" w:cs="Times New Roman"/>
          <w:color w:val="000000"/>
          <w:szCs w:val="24"/>
        </w:rPr>
        <w:footnoteReference w:id="1"/>
      </w:r>
      <w:r>
        <w:rPr>
          <w:rFonts w:eastAsia="Times New Roman" w:cs="Times New Roman"/>
          <w:color w:val="000000"/>
          <w:szCs w:val="24"/>
        </w:rPr>
        <w:t xml:space="preserve"> od Medz</w:t>
      </w:r>
      <w:r>
        <w:rPr>
          <w:rFonts w:eastAsia="Times New Roman" w:cs="Times New Roman"/>
          <w:color w:val="000000"/>
          <w:szCs w:val="24"/>
        </w:rPr>
        <w:t>i</w:t>
      </w:r>
      <w:r>
        <w:rPr>
          <w:rFonts w:eastAsia="Times New Roman" w:cs="Times New Roman"/>
          <w:color w:val="000000"/>
          <w:szCs w:val="24"/>
        </w:rPr>
        <w:t>národnej organizácie práce. Tieto povolania sú:</w:t>
      </w:r>
    </w:p>
    <w:p w:rsidR="00C7053D" w:rsidRPr="008F4F95" w:rsidRDefault="00C7053D" w:rsidP="00C7053D">
      <w:pPr>
        <w:pStyle w:val="Nadpis6"/>
        <w:ind w:left="1247" w:hanging="1247"/>
      </w:pPr>
      <w:r w:rsidRPr="008F4F95">
        <w:t>T a b u ľ k a</w:t>
      </w:r>
      <w:r w:rsidRPr="008F4F95">
        <w:tab/>
      </w:r>
      <w:r>
        <w:t>5</w:t>
      </w:r>
    </w:p>
    <w:p w:rsidR="00C7053D" w:rsidRPr="004F042E" w:rsidRDefault="00C7053D" w:rsidP="00C7053D">
      <w:pPr>
        <w:pStyle w:val="Nadpis5"/>
      </w:pPr>
      <w:bookmarkStart w:id="5" w:name="_Toc401662864"/>
      <w:r w:rsidRPr="00582214">
        <w:rPr>
          <w:rFonts w:eastAsia="Times New Roman" w:cs="Times New Roman"/>
          <w:color w:val="000000"/>
          <w:szCs w:val="24"/>
        </w:rPr>
        <w:t xml:space="preserve">Hodnoty premennej </w:t>
      </w:r>
      <w:r>
        <w:rPr>
          <w:rFonts w:eastAsia="Times New Roman" w:cs="Times New Roman"/>
          <w:color w:val="000000"/>
          <w:szCs w:val="24"/>
        </w:rPr>
        <w:t>isco1</w:t>
      </w:r>
      <w:bookmarkEnd w:id="5"/>
    </w:p>
    <w:tbl>
      <w:tblPr>
        <w:tblStyle w:val="Mriekatabuky"/>
        <w:tblW w:w="5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60"/>
      </w:tblGrid>
      <w:tr w:rsidR="00C7053D" w:rsidRPr="00B45DA3" w:rsidTr="007804ED">
        <w:trPr>
          <w:trHeight w:val="22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tcBorders>
              <w:top w:val="single" w:sz="12" w:space="0" w:color="auto"/>
            </w:tcBorders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12" w:space="0" w:color="auto"/>
            </w:tcBorders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Zákonodarcovia, riadiaci pracovníci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Špecialisti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Technici a odborní pracovníci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Administratívni pracovníci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Pracovníci v službách a obchode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Kvalifikovaní pracovníci 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poľnohospodárstve, lesníctve a rybárstve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Kvalifikovaní pracovníci a remeselníci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Operátori a montéri strojov a zariadení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B15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Pomocní a nekvalifikovaní pracovníci</w:t>
            </w:r>
          </w:p>
        </w:tc>
      </w:tr>
      <w:tr w:rsidR="00C7053D" w:rsidRPr="00B45DA3" w:rsidTr="007804ED">
        <w:trPr>
          <w:trHeight w:val="227"/>
          <w:jc w:val="center"/>
        </w:trPr>
        <w:tc>
          <w:tcPr>
            <w:tcW w:w="454" w:type="dxa"/>
            <w:noWrap/>
          </w:tcPr>
          <w:p w:rsidR="00C7053D" w:rsidRPr="00BB1580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949" w:type="dxa"/>
            <w:noWrap/>
          </w:tcPr>
          <w:p w:rsidR="00C7053D" w:rsidRPr="005A0104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0104">
              <w:rPr>
                <w:rFonts w:eastAsia="Times New Roman" w:cs="Times New Roman"/>
                <w:color w:val="000000"/>
                <w:sz w:val="18"/>
                <w:szCs w:val="18"/>
              </w:rPr>
              <w:t>Príslušníci ozbrojených síl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ILO a VZAM 2.0.</w:t>
      </w:r>
    </w:p>
    <w:p w:rsidR="00C7053D" w:rsidRPr="00C44506" w:rsidRDefault="00C7053D" w:rsidP="00C7053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Ďalšou premennou v hárku zamestnanosť je premenná </w:t>
      </w:r>
      <w:r>
        <w:rPr>
          <w:rFonts w:eastAsia="Times New Roman" w:cs="Times New Roman"/>
          <w:i/>
          <w:color w:val="000000"/>
          <w:szCs w:val="24"/>
        </w:rPr>
        <w:t>sektor</w:t>
      </w:r>
      <w:r w:rsidRPr="00A74ABE">
        <w:rPr>
          <w:rFonts w:eastAsia="Times New Roman" w:cs="Times New Roman"/>
          <w:i/>
          <w:color w:val="000000"/>
          <w:szCs w:val="24"/>
        </w:rPr>
        <w:t>_20</w:t>
      </w:r>
      <w:r>
        <w:rPr>
          <w:rFonts w:eastAsia="Times New Roman" w:cs="Times New Roman"/>
          <w:color w:val="000000"/>
          <w:szCs w:val="24"/>
        </w:rPr>
        <w:t xml:space="preserve">, ktorá je </w:t>
      </w:r>
      <w:r w:rsidRPr="00AE2F19">
        <w:rPr>
          <w:rFonts w:eastAsia="Times New Roman" w:cs="Times New Roman"/>
          <w:color w:val="000000"/>
          <w:spacing w:val="-2"/>
          <w:szCs w:val="24"/>
        </w:rPr>
        <w:t>zostavená na základe Európskej klasifikácie ekonomických aktivít NACE rev.</w:t>
      </w:r>
      <w:r>
        <w:rPr>
          <w:rFonts w:eastAsia="Times New Roman" w:cs="Times New Roman"/>
          <w:color w:val="000000"/>
          <w:szCs w:val="24"/>
        </w:rPr>
        <w:t xml:space="preserve"> 2</w:t>
      </w:r>
      <w:r>
        <w:rPr>
          <w:rStyle w:val="Odkaznapoznmkupodiarou"/>
          <w:rFonts w:eastAsia="Times New Roman" w:cs="Times New Roman"/>
          <w:color w:val="000000"/>
          <w:szCs w:val="24"/>
        </w:rPr>
        <w:footnoteReference w:id="2"/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lastRenderedPageBreak/>
        <w:t xml:space="preserve">tak, aby v čo najvyššej možnej miere pomohla preklenúť štrukturálny zlom </w:t>
      </w:r>
      <w:r w:rsidRPr="005A0104">
        <w:rPr>
          <w:rFonts w:eastAsia="Times New Roman" w:cs="Times New Roman"/>
          <w:color w:val="000000"/>
          <w:spacing w:val="4"/>
          <w:szCs w:val="24"/>
        </w:rPr>
        <w:t xml:space="preserve">z roku 2008, kedy sa menila klasifikácia z NACE rev.1 na NACE rev.2 </w:t>
      </w:r>
      <w:r>
        <w:rPr>
          <w:rFonts w:eastAsia="Times New Roman" w:cs="Times New Roman"/>
          <w:color w:val="000000"/>
          <w:spacing w:val="4"/>
          <w:szCs w:val="24"/>
        </w:rPr>
        <w:t>To</w:t>
      </w:r>
      <w:r w:rsidRPr="005A0104">
        <w:rPr>
          <w:rFonts w:eastAsia="Times New Roman" w:cs="Times New Roman"/>
          <w:color w:val="000000"/>
          <w:spacing w:val="4"/>
          <w:szCs w:val="24"/>
        </w:rPr>
        <w:t xml:space="preserve"> bol výrazný zlom v časovom rade, nakoľko došlo k podstatnej zmene štrukt</w:t>
      </w:r>
      <w:r w:rsidRPr="005A0104">
        <w:rPr>
          <w:rFonts w:eastAsia="Times New Roman" w:cs="Times New Roman"/>
          <w:color w:val="000000"/>
          <w:spacing w:val="4"/>
          <w:szCs w:val="24"/>
        </w:rPr>
        <w:t>ú</w:t>
      </w:r>
      <w:r w:rsidRPr="005A0104">
        <w:rPr>
          <w:rFonts w:eastAsia="Times New Roman" w:cs="Times New Roman"/>
          <w:color w:val="000000"/>
          <w:spacing w:val="2"/>
          <w:szCs w:val="24"/>
        </w:rPr>
        <w:t xml:space="preserve">ry samotnej klasifikácie. Premenná </w:t>
      </w:r>
      <w:r w:rsidRPr="005A0104">
        <w:rPr>
          <w:rFonts w:eastAsia="Times New Roman" w:cs="Times New Roman"/>
          <w:i/>
          <w:color w:val="000000"/>
          <w:spacing w:val="2"/>
          <w:szCs w:val="24"/>
        </w:rPr>
        <w:t>sektor_20</w:t>
      </w:r>
      <w:r w:rsidRPr="005A0104">
        <w:rPr>
          <w:rFonts w:eastAsia="Times New Roman" w:cs="Times New Roman"/>
          <w:color w:val="000000"/>
          <w:spacing w:val="2"/>
          <w:szCs w:val="24"/>
        </w:rPr>
        <w:t xml:space="preserve"> bola vytvorená tak, aby časový rad</w:t>
      </w:r>
      <w:r>
        <w:rPr>
          <w:rFonts w:eastAsia="Times New Roman" w:cs="Times New Roman"/>
          <w:color w:val="000000"/>
          <w:szCs w:val="24"/>
        </w:rPr>
        <w:t xml:space="preserve"> sektorovej zamestnanosti eliminoval nezrovnalosti medzi oboma verziami klasifikácie.</w:t>
      </w:r>
    </w:p>
    <w:p w:rsidR="00C7053D" w:rsidRPr="008F4F95" w:rsidRDefault="00C7053D" w:rsidP="00C7053D">
      <w:pPr>
        <w:pStyle w:val="Nadpis6"/>
        <w:ind w:left="1247" w:hanging="1247"/>
      </w:pPr>
      <w:r w:rsidRPr="008F4F95">
        <w:t>T a b u ľ k a</w:t>
      </w:r>
      <w:r w:rsidRPr="008F4F95">
        <w:tab/>
      </w:r>
      <w:r>
        <w:t>6</w:t>
      </w:r>
    </w:p>
    <w:p w:rsidR="00C7053D" w:rsidRPr="005A0104" w:rsidRDefault="00C7053D" w:rsidP="00C7053D">
      <w:pPr>
        <w:pStyle w:val="Nadpis5"/>
      </w:pPr>
      <w:bookmarkStart w:id="6" w:name="_Toc401662865"/>
      <w:r w:rsidRPr="005A0104">
        <w:t xml:space="preserve">20 sektorová </w:t>
      </w:r>
      <w:proofErr w:type="spellStart"/>
      <w:r w:rsidRPr="005A0104">
        <w:t>agregácia</w:t>
      </w:r>
      <w:proofErr w:type="spellEnd"/>
      <w:r w:rsidRPr="005A0104">
        <w:t xml:space="preserve"> NACE rev. 2 klasifikácie</w:t>
      </w:r>
      <w:bookmarkEnd w:id="6"/>
    </w:p>
    <w:tbl>
      <w:tblPr>
        <w:tblStyle w:val="Mriekatabuky"/>
        <w:tblW w:w="714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692"/>
        <w:gridCol w:w="4719"/>
      </w:tblGrid>
      <w:tr w:rsidR="00C7053D" w:rsidRPr="00D43C22" w:rsidTr="007804ED">
        <w:trPr>
          <w:trHeight w:val="227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NACE rev. 2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12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Hodnota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01-03,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05-09</w:t>
            </w:r>
          </w:p>
        </w:tc>
        <w:tc>
          <w:tcPr>
            <w:tcW w:w="4748" w:type="dxa"/>
            <w:tcBorders>
              <w:top w:val="single" w:sz="12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Poľnohospodárstvo a ťažba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Potravinársky, nápojový a tabakový priemysel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Textilný a kožený priemysel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16-17,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31,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Spracovanie dreva a výroba nábytku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D43C22">
              <w:rPr>
                <w:rFonts w:cs="Times New Roman"/>
                <w:sz w:val="18"/>
                <w:szCs w:val="18"/>
              </w:rPr>
              <w:t xml:space="preserve"> papiernický priemysel a iná výroba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18-23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 xml:space="preserve">Tlač, výroba palív, farmaceutický a chemický priemysel, </w:t>
            </w:r>
            <w:r w:rsidRPr="00247FE6">
              <w:rPr>
                <w:szCs w:val="22"/>
              </w:rPr>
              <w:br/>
            </w:r>
            <w:r w:rsidRPr="00D43C22">
              <w:rPr>
                <w:rFonts w:cs="Times New Roman"/>
                <w:sz w:val="18"/>
                <w:szCs w:val="18"/>
              </w:rPr>
              <w:t xml:space="preserve">gumárenský priemysel a výroba plastov, výroba iných </w:t>
            </w:r>
            <w:r w:rsidRPr="00247FE6">
              <w:rPr>
                <w:szCs w:val="22"/>
              </w:rPr>
              <w:br/>
            </w:r>
            <w:r w:rsidRPr="00D43C22">
              <w:rPr>
                <w:rFonts w:cs="Times New Roman"/>
                <w:sz w:val="18"/>
                <w:szCs w:val="18"/>
              </w:rPr>
              <w:t xml:space="preserve">nekovových výrobkov 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 xml:space="preserve">Spracovanie kovov a výroba kovových konštrukcií </w:t>
            </w:r>
            <w:r w:rsidRPr="00247FE6">
              <w:rPr>
                <w:szCs w:val="22"/>
              </w:rPr>
              <w:br/>
            </w:r>
            <w:r w:rsidRPr="00D43C22">
              <w:rPr>
                <w:rFonts w:cs="Times New Roman"/>
                <w:sz w:val="18"/>
                <w:szCs w:val="18"/>
              </w:rPr>
              <w:t>okrem strojov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26-28,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Výroba strojov, počítačov a iných elektrických zariadení, oprava a inštalácia strojov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29,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30,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 xml:space="preserve">Výroba motorových vozidiel a iných dopravných </w:t>
            </w:r>
            <w:r w:rsidRPr="00247FE6">
              <w:rPr>
                <w:szCs w:val="22"/>
              </w:rPr>
              <w:br/>
            </w:r>
            <w:r w:rsidRPr="00D43C22">
              <w:rPr>
                <w:rFonts w:cs="Times New Roman"/>
                <w:sz w:val="18"/>
                <w:szCs w:val="18"/>
              </w:rPr>
              <w:t>prostriedkov, predaj a údržba vozidiel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Energetický priemysel a odstraňovanie odpadov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41-43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Stavebníctvo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Veľkoobchod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Maloobchod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49-54,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Logistika a komunikácie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64-66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Finančné služby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55,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Hotelierstvo a reštaurácie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1A8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58-60, 62, 63, 68-71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73-82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Počítačové, informačné, nehnuteľnosti a iné neverejné služby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72,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Školstvo a veda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Verejné služby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86-88</w:t>
            </w:r>
          </w:p>
        </w:tc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D43C22">
              <w:rPr>
                <w:rFonts w:cs="Times New Roman"/>
                <w:sz w:val="18"/>
                <w:szCs w:val="18"/>
              </w:rPr>
              <w:t>Zdravotníctvo a sociálne služby</w:t>
            </w:r>
          </w:p>
        </w:tc>
      </w:tr>
      <w:tr w:rsidR="00C7053D" w:rsidRPr="00D43C22" w:rsidTr="007804ED">
        <w:trPr>
          <w:trHeight w:val="227"/>
        </w:trPr>
        <w:tc>
          <w:tcPr>
            <w:tcW w:w="737" w:type="dxa"/>
            <w:tcBorders>
              <w:top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right="113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noWrap/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89-99</w:t>
            </w:r>
          </w:p>
        </w:tc>
        <w:tc>
          <w:tcPr>
            <w:tcW w:w="4748" w:type="dxa"/>
            <w:tcBorders>
              <w:top w:val="dotted" w:sz="4" w:space="0" w:color="auto"/>
            </w:tcBorders>
          </w:tcPr>
          <w:p w:rsidR="00C7053D" w:rsidRPr="00D43C22" w:rsidRDefault="00C7053D" w:rsidP="007804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43C22">
              <w:rPr>
                <w:rFonts w:eastAsia="Times New Roman" w:cs="Times New Roman"/>
                <w:color w:val="000000"/>
                <w:sz w:val="18"/>
                <w:szCs w:val="18"/>
              </w:rPr>
              <w:t>Ostatné činnosti</w:t>
            </w:r>
          </w:p>
        </w:tc>
      </w:tr>
    </w:tbl>
    <w:p w:rsidR="00C7053D" w:rsidRPr="00D43C22" w:rsidRDefault="00C7053D" w:rsidP="00C7053D">
      <w:pPr>
        <w:spacing w:before="120" w:after="240" w:line="240" w:lineRule="auto"/>
        <w:ind w:firstLine="0"/>
        <w:jc w:val="left"/>
        <w:rPr>
          <w:rStyle w:val="Jemnzvraznenie"/>
          <w:sz w:val="18"/>
          <w:szCs w:val="18"/>
        </w:rPr>
      </w:pPr>
      <w:r w:rsidRPr="00D43C22">
        <w:rPr>
          <w:rStyle w:val="Jemnzvraznenie"/>
          <w:i/>
          <w:sz w:val="18"/>
          <w:szCs w:val="18"/>
        </w:rPr>
        <w:t>Zdroj</w:t>
      </w:r>
      <w:r w:rsidRPr="00D43C22">
        <w:rPr>
          <w:rStyle w:val="Jemnzvraznenie"/>
          <w:sz w:val="18"/>
          <w:szCs w:val="18"/>
        </w:rPr>
        <w:t>: NACE rev. 2 a VZAM 2.0.</w:t>
      </w:r>
    </w:p>
    <w:p w:rsidR="00C7053D" w:rsidRDefault="00C7053D" w:rsidP="00C7053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Premenné </w:t>
      </w:r>
      <w:r>
        <w:rPr>
          <w:rFonts w:eastAsia="Times New Roman" w:cs="Times New Roman"/>
          <w:i/>
          <w:color w:val="000000"/>
          <w:szCs w:val="24"/>
        </w:rPr>
        <w:t xml:space="preserve">odh62, odh65 </w:t>
      </w:r>
      <w:r>
        <w:rPr>
          <w:rFonts w:eastAsia="Times New Roman" w:cs="Times New Roman"/>
          <w:color w:val="000000"/>
          <w:szCs w:val="24"/>
        </w:rPr>
        <w:t>a </w:t>
      </w:r>
      <w:r>
        <w:rPr>
          <w:rFonts w:eastAsia="Times New Roman" w:cs="Times New Roman"/>
          <w:i/>
          <w:color w:val="000000"/>
          <w:szCs w:val="24"/>
        </w:rPr>
        <w:t>odh70</w:t>
      </w:r>
      <w:r>
        <w:rPr>
          <w:rFonts w:eastAsia="Times New Roman" w:cs="Times New Roman"/>
          <w:color w:val="000000"/>
          <w:szCs w:val="24"/>
        </w:rPr>
        <w:t xml:space="preserve"> vyjadrujú odhad zamestnanosti podľa je</w:t>
      </w:r>
      <w:r>
        <w:rPr>
          <w:rFonts w:eastAsia="Times New Roman" w:cs="Times New Roman"/>
          <w:color w:val="000000"/>
          <w:szCs w:val="24"/>
        </w:rPr>
        <w:t>d</w:t>
      </w:r>
      <w:r>
        <w:rPr>
          <w:rFonts w:eastAsia="Times New Roman" w:cs="Times New Roman"/>
          <w:color w:val="000000"/>
          <w:szCs w:val="24"/>
        </w:rPr>
        <w:t>notlivých scenárov, ale v tomto prípade je dopyt po pracovníkoch daný exogé</w:t>
      </w:r>
      <w:r>
        <w:rPr>
          <w:rFonts w:eastAsia="Times New Roman" w:cs="Times New Roman"/>
          <w:color w:val="000000"/>
          <w:szCs w:val="24"/>
        </w:rPr>
        <w:t>n</w:t>
      </w:r>
      <w:r>
        <w:rPr>
          <w:rFonts w:eastAsia="Times New Roman" w:cs="Times New Roman"/>
          <w:color w:val="000000"/>
          <w:szCs w:val="24"/>
        </w:rPr>
        <w:t>ne, preto sú hodnoty zamestnanosti podľa jednotlivých scenárov rovnaké.</w:t>
      </w:r>
    </w:p>
    <w:p w:rsidR="00C7053D" w:rsidRDefault="00C7053D" w:rsidP="00C7053D">
      <w:pPr>
        <w:pStyle w:val="Nadpis3"/>
      </w:pPr>
      <w:r>
        <w:lastRenderedPageBreak/>
        <w:t xml:space="preserve">Výsledky modulu UNEMPL a počet ekonomicky </w:t>
      </w:r>
      <w:r w:rsidRPr="00247FE6">
        <w:rPr>
          <w:b w:val="0"/>
          <w:sz w:val="22"/>
          <w:szCs w:val="22"/>
        </w:rPr>
        <w:br/>
      </w:r>
      <w:r>
        <w:t>neaktívneho obyvateľstva</w:t>
      </w:r>
    </w:p>
    <w:p w:rsidR="00C7053D" w:rsidRPr="008B5710" w:rsidRDefault="00C7053D" w:rsidP="00C7053D">
      <w:r>
        <w:t>V hárku nezamestnanosti sú zobrazené vypočítané nerovnováhy medzi odh</w:t>
      </w:r>
      <w:r>
        <w:t>a</w:t>
      </w:r>
      <w:r>
        <w:t>dom ekonomickej aktivity obyvateľstva a dopytom po pracovnej sile. Odhady počtu nezamestnaných osôb sú vyjadrením existujúcich nerovnováh na trhu pr</w:t>
      </w:r>
      <w:r>
        <w:t>á</w:t>
      </w:r>
      <w:r>
        <w:t>ce. V prípade prebytku ponuky nad dopytom v rámci vzdelanostnej skupiny n</w:t>
      </w:r>
      <w:r>
        <w:t>a</w:t>
      </w:r>
      <w:r>
        <w:t>dobúdajú odhadnuté počty nezamestnaných kladné hodnoty, a naopak v prípade prebytku dopytu nad ponukou záporné hodnoty. Agregovaný počet nezamestn</w:t>
      </w:r>
      <w:r>
        <w:t>a</w:t>
      </w:r>
      <w:r>
        <w:t xml:space="preserve">ných osôb vyjadruje celkový počet nezamestnaných osôb v hospodárstve, kde sa berie do úvahy možnosť substitúcie nižšej požadovanej </w:t>
      </w:r>
      <w:bookmarkStart w:id="7" w:name="_GoBack"/>
      <w:bookmarkEnd w:id="7"/>
      <w:r>
        <w:t>kvalifikácie vyššou. Nezamestnanosť je možné porovnať v 4 vzdelanostných skupinách, v troch sc</w:t>
      </w:r>
      <w:r>
        <w:t>e</w:t>
      </w:r>
      <w:r>
        <w:t>nároch s historickými údajmi. Podobne ako v prípade n</w:t>
      </w:r>
      <w:r>
        <w:t>e</w:t>
      </w:r>
      <w:r>
        <w:t>zamestnanosti je možné v hárku ekonomicky neaktívnych obyvateľov triediť a porovnať odhadnutý počet ekonomicky neaktívneho obyvateľstva podľa 4 stupňov vzdelania a scenára veku odchodu do dôchodku s historickými údajmi. Počet neaktívnych obyvateľov je vypočítaný ako doplnok do celkovej populácie v závislosti od odhadu ekon</w:t>
      </w:r>
      <w:r>
        <w:t>o</w:t>
      </w:r>
      <w:r>
        <w:t>mickej aktivity obyvateľstva.</w:t>
      </w:r>
    </w:p>
    <w:p w:rsidR="00C7053D" w:rsidRDefault="00C7053D" w:rsidP="00C7053D">
      <w:pPr>
        <w:ind w:firstLine="0"/>
        <w:rPr>
          <w:lang w:eastAsia="sk-SK"/>
        </w:rPr>
      </w:pPr>
    </w:p>
    <w:p w:rsidR="00C7053D" w:rsidRDefault="00C7053D" w:rsidP="00C7053D">
      <w:pPr>
        <w:ind w:firstLine="0"/>
        <w:rPr>
          <w:lang w:eastAsia="sk-SK"/>
        </w:rPr>
      </w:pPr>
    </w:p>
    <w:p w:rsidR="00E15844" w:rsidRPr="00C7053D" w:rsidRDefault="00E15844" w:rsidP="00C7053D"/>
    <w:sectPr w:rsidR="00E15844" w:rsidRPr="00C7053D" w:rsidSect="003531AA">
      <w:headerReference w:type="default" r:id="rId9"/>
      <w:pgSz w:w="11906" w:h="16838" w:code="9"/>
      <w:pgMar w:top="2835" w:right="2217" w:bottom="2552" w:left="2529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E0" w:rsidRDefault="006D22E0" w:rsidP="00C024E4">
      <w:pPr>
        <w:spacing w:line="240" w:lineRule="auto"/>
      </w:pPr>
      <w:r>
        <w:separator/>
      </w:r>
    </w:p>
  </w:endnote>
  <w:endnote w:type="continuationSeparator" w:id="0">
    <w:p w:rsidR="006D22E0" w:rsidRDefault="006D22E0" w:rsidP="00C0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E0" w:rsidRDefault="006D22E0" w:rsidP="00C024E4">
      <w:pPr>
        <w:spacing w:line="240" w:lineRule="auto"/>
      </w:pPr>
      <w:r>
        <w:separator/>
      </w:r>
    </w:p>
  </w:footnote>
  <w:footnote w:type="continuationSeparator" w:id="0">
    <w:p w:rsidR="006D22E0" w:rsidRDefault="006D22E0" w:rsidP="00C024E4">
      <w:pPr>
        <w:spacing w:line="240" w:lineRule="auto"/>
      </w:pPr>
      <w:r>
        <w:continuationSeparator/>
      </w:r>
    </w:p>
  </w:footnote>
  <w:footnote w:id="1">
    <w:p w:rsidR="00C7053D" w:rsidRPr="004D77F8" w:rsidRDefault="00C7053D" w:rsidP="00C7053D">
      <w:pPr>
        <w:pStyle w:val="Textpoznmkypodiarou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4D77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D77F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proofErr w:type="gramStart"/>
      <w:r w:rsidRPr="004D77F8">
        <w:rPr>
          <w:rFonts w:ascii="Times New Roman" w:hAnsi="Times New Roman" w:cs="Times New Roman"/>
          <w:sz w:val="18"/>
          <w:szCs w:val="18"/>
        </w:rPr>
        <w:t>Pozri</w:t>
      </w:r>
      <w:proofErr w:type="spellEnd"/>
      <w:r w:rsidRPr="004D77F8">
        <w:rPr>
          <w:rFonts w:ascii="Times New Roman" w:hAnsi="Times New Roman" w:cs="Times New Roman"/>
          <w:sz w:val="18"/>
          <w:szCs w:val="18"/>
        </w:rPr>
        <w:t xml:space="preserve"> </w:t>
      </w:r>
      <w:r w:rsidRPr="004D77F8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4D77F8">
        <w:rPr>
          <w:rFonts w:ascii="Times New Roman" w:hAnsi="Times New Roman" w:cs="Times New Roman"/>
          <w:sz w:val="18"/>
          <w:szCs w:val="18"/>
        </w:rPr>
        <w:t>http://www.ilo.org/public/english/bureau/stat/isco/isco08/&gt;.</w:t>
      </w:r>
      <w:proofErr w:type="gramEnd"/>
    </w:p>
  </w:footnote>
  <w:footnote w:id="2">
    <w:p w:rsidR="00C7053D" w:rsidRPr="004D77F8" w:rsidRDefault="00C7053D" w:rsidP="00C7053D">
      <w:pPr>
        <w:pStyle w:val="Textpoznmkypodiarou"/>
        <w:spacing w:before="60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D77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D77F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proofErr w:type="gramStart"/>
      <w:r w:rsidRPr="004D77F8">
        <w:rPr>
          <w:rFonts w:ascii="Times New Roman" w:hAnsi="Times New Roman" w:cs="Times New Roman"/>
          <w:spacing w:val="-2"/>
          <w:sz w:val="18"/>
          <w:szCs w:val="18"/>
        </w:rPr>
        <w:t>Pozri</w:t>
      </w:r>
      <w:proofErr w:type="spellEnd"/>
      <w:r w:rsidRPr="004D77F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D77F8">
        <w:rPr>
          <w:rFonts w:ascii="Times New Roman" w:hAnsi="Times New Roman" w:cs="Times New Roman"/>
          <w:spacing w:val="-2"/>
          <w:sz w:val="18"/>
          <w:szCs w:val="18"/>
          <w:lang w:val="en-US"/>
        </w:rPr>
        <w:t>&lt;</w:t>
      </w:r>
      <w:r w:rsidRPr="004D77F8">
        <w:rPr>
          <w:rFonts w:ascii="Times New Roman" w:hAnsi="Times New Roman" w:cs="Times New Roman"/>
          <w:spacing w:val="-2"/>
          <w:sz w:val="18"/>
          <w:szCs w:val="18"/>
        </w:rPr>
        <w:t>http://epp.eurostat.ec.europa.eu/cache/ITY_OFFPUB/KS-RA-07-015/EN/KS-RA-07-015-EN.PDF&gt;.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6732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0EB" w:rsidRPr="00C024E4" w:rsidRDefault="000E70EB">
        <w:pPr>
          <w:pStyle w:val="Hlavika"/>
          <w:jc w:val="center"/>
          <w:rPr>
            <w:sz w:val="20"/>
            <w:szCs w:val="20"/>
          </w:rPr>
        </w:pPr>
        <w:r w:rsidRPr="00C024E4">
          <w:rPr>
            <w:sz w:val="20"/>
            <w:szCs w:val="20"/>
          </w:rPr>
          <w:fldChar w:fldCharType="begin"/>
        </w:r>
        <w:r w:rsidRPr="00C024E4">
          <w:rPr>
            <w:sz w:val="20"/>
            <w:szCs w:val="20"/>
          </w:rPr>
          <w:instrText>PAGE   \* MERGEFORMAT</w:instrText>
        </w:r>
        <w:r w:rsidRPr="00C024E4">
          <w:rPr>
            <w:sz w:val="20"/>
            <w:szCs w:val="20"/>
          </w:rPr>
          <w:fldChar w:fldCharType="separate"/>
        </w:r>
        <w:r w:rsidR="00C7053D">
          <w:rPr>
            <w:noProof/>
            <w:sz w:val="20"/>
            <w:szCs w:val="20"/>
          </w:rPr>
          <w:t>1</w:t>
        </w:r>
        <w:r w:rsidRPr="00C024E4">
          <w:rPr>
            <w:sz w:val="20"/>
            <w:szCs w:val="20"/>
          </w:rPr>
          <w:fldChar w:fldCharType="end"/>
        </w:r>
      </w:p>
    </w:sdtContent>
  </w:sdt>
  <w:p w:rsidR="000E70EB" w:rsidRPr="00C024E4" w:rsidRDefault="000E70EB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348"/>
    <w:multiLevelType w:val="hybridMultilevel"/>
    <w:tmpl w:val="E56052DA"/>
    <w:lvl w:ilvl="0" w:tplc="EA345A0C">
      <w:start w:val="1"/>
      <w:numFmt w:val="decimal"/>
      <w:pStyle w:val="A5Nadpisy"/>
      <w:lvlText w:val="%1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E5F7241"/>
    <w:multiLevelType w:val="hybridMultilevel"/>
    <w:tmpl w:val="D9BA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0"/>
    <w:rsid w:val="00000C30"/>
    <w:rsid w:val="00003C5D"/>
    <w:rsid w:val="000222B3"/>
    <w:rsid w:val="00047FAD"/>
    <w:rsid w:val="000500C8"/>
    <w:rsid w:val="00051366"/>
    <w:rsid w:val="00052C20"/>
    <w:rsid w:val="00061DC8"/>
    <w:rsid w:val="000718EA"/>
    <w:rsid w:val="000817F7"/>
    <w:rsid w:val="000A36FE"/>
    <w:rsid w:val="000A7541"/>
    <w:rsid w:val="000B259B"/>
    <w:rsid w:val="000B3873"/>
    <w:rsid w:val="000D0DBD"/>
    <w:rsid w:val="000E0042"/>
    <w:rsid w:val="000E70EB"/>
    <w:rsid w:val="000F7E90"/>
    <w:rsid w:val="00115D4B"/>
    <w:rsid w:val="00133548"/>
    <w:rsid w:val="001455EC"/>
    <w:rsid w:val="00146E3A"/>
    <w:rsid w:val="0015521F"/>
    <w:rsid w:val="001612C9"/>
    <w:rsid w:val="00177A12"/>
    <w:rsid w:val="001B2532"/>
    <w:rsid w:val="001B67C1"/>
    <w:rsid w:val="001C6334"/>
    <w:rsid w:val="0020219F"/>
    <w:rsid w:val="00216FFB"/>
    <w:rsid w:val="00237AF5"/>
    <w:rsid w:val="002435C7"/>
    <w:rsid w:val="0025665A"/>
    <w:rsid w:val="00263848"/>
    <w:rsid w:val="00271117"/>
    <w:rsid w:val="00285070"/>
    <w:rsid w:val="002B141B"/>
    <w:rsid w:val="002B6AE8"/>
    <w:rsid w:val="002D0159"/>
    <w:rsid w:val="002F34DB"/>
    <w:rsid w:val="002F44A2"/>
    <w:rsid w:val="002F4619"/>
    <w:rsid w:val="00304580"/>
    <w:rsid w:val="00307D7A"/>
    <w:rsid w:val="00315AA4"/>
    <w:rsid w:val="00320D81"/>
    <w:rsid w:val="00347EEE"/>
    <w:rsid w:val="003531AA"/>
    <w:rsid w:val="00356828"/>
    <w:rsid w:val="00361E7D"/>
    <w:rsid w:val="00362E93"/>
    <w:rsid w:val="003856D6"/>
    <w:rsid w:val="00386ECE"/>
    <w:rsid w:val="00396266"/>
    <w:rsid w:val="003A3284"/>
    <w:rsid w:val="003B7264"/>
    <w:rsid w:val="003C0DDF"/>
    <w:rsid w:val="003C35DF"/>
    <w:rsid w:val="003C4485"/>
    <w:rsid w:val="003D1AEA"/>
    <w:rsid w:val="003D226F"/>
    <w:rsid w:val="003D47B6"/>
    <w:rsid w:val="003D543A"/>
    <w:rsid w:val="003E0043"/>
    <w:rsid w:val="003F0664"/>
    <w:rsid w:val="00422BC9"/>
    <w:rsid w:val="00426193"/>
    <w:rsid w:val="004276D2"/>
    <w:rsid w:val="00475AB5"/>
    <w:rsid w:val="004C4DBB"/>
    <w:rsid w:val="004E1FB1"/>
    <w:rsid w:val="004E5365"/>
    <w:rsid w:val="004F042E"/>
    <w:rsid w:val="004F2282"/>
    <w:rsid w:val="004F4B08"/>
    <w:rsid w:val="0050069A"/>
    <w:rsid w:val="0051517B"/>
    <w:rsid w:val="00535D58"/>
    <w:rsid w:val="00542B24"/>
    <w:rsid w:val="00567474"/>
    <w:rsid w:val="00567B83"/>
    <w:rsid w:val="00577A0B"/>
    <w:rsid w:val="00582214"/>
    <w:rsid w:val="00591EFA"/>
    <w:rsid w:val="005A5914"/>
    <w:rsid w:val="005A6862"/>
    <w:rsid w:val="005C64E2"/>
    <w:rsid w:val="005D2C8F"/>
    <w:rsid w:val="00602537"/>
    <w:rsid w:val="00604BE4"/>
    <w:rsid w:val="00622A08"/>
    <w:rsid w:val="006555FB"/>
    <w:rsid w:val="0065760E"/>
    <w:rsid w:val="00666882"/>
    <w:rsid w:val="006759FD"/>
    <w:rsid w:val="00691EF2"/>
    <w:rsid w:val="006A20D8"/>
    <w:rsid w:val="006A360F"/>
    <w:rsid w:val="006A45CB"/>
    <w:rsid w:val="006B00B3"/>
    <w:rsid w:val="006B6EBD"/>
    <w:rsid w:val="006C0009"/>
    <w:rsid w:val="006C6ADB"/>
    <w:rsid w:val="006D22E0"/>
    <w:rsid w:val="007302FD"/>
    <w:rsid w:val="007405AE"/>
    <w:rsid w:val="00757649"/>
    <w:rsid w:val="00766C6C"/>
    <w:rsid w:val="00770B8E"/>
    <w:rsid w:val="007720B2"/>
    <w:rsid w:val="007D396E"/>
    <w:rsid w:val="007E27C4"/>
    <w:rsid w:val="00803DCC"/>
    <w:rsid w:val="0083395E"/>
    <w:rsid w:val="008348BF"/>
    <w:rsid w:val="0083609A"/>
    <w:rsid w:val="00845F51"/>
    <w:rsid w:val="00851E82"/>
    <w:rsid w:val="0086311B"/>
    <w:rsid w:val="008648F1"/>
    <w:rsid w:val="008730C1"/>
    <w:rsid w:val="00897F37"/>
    <w:rsid w:val="008B1585"/>
    <w:rsid w:val="008D67D3"/>
    <w:rsid w:val="008F4F95"/>
    <w:rsid w:val="00907DF4"/>
    <w:rsid w:val="009113E2"/>
    <w:rsid w:val="00912895"/>
    <w:rsid w:val="009244AD"/>
    <w:rsid w:val="009335F7"/>
    <w:rsid w:val="00940AE0"/>
    <w:rsid w:val="009959DF"/>
    <w:rsid w:val="009A4EBA"/>
    <w:rsid w:val="009A65D5"/>
    <w:rsid w:val="009B3812"/>
    <w:rsid w:val="009F0106"/>
    <w:rsid w:val="009F698A"/>
    <w:rsid w:val="00A24A64"/>
    <w:rsid w:val="00A7131A"/>
    <w:rsid w:val="00A74ABE"/>
    <w:rsid w:val="00AE057D"/>
    <w:rsid w:val="00AE3140"/>
    <w:rsid w:val="00B02765"/>
    <w:rsid w:val="00B328BE"/>
    <w:rsid w:val="00B9177D"/>
    <w:rsid w:val="00BA3B61"/>
    <w:rsid w:val="00BA4699"/>
    <w:rsid w:val="00BB411F"/>
    <w:rsid w:val="00BB66DB"/>
    <w:rsid w:val="00BE28B5"/>
    <w:rsid w:val="00BF2D4A"/>
    <w:rsid w:val="00BF62C8"/>
    <w:rsid w:val="00C024E4"/>
    <w:rsid w:val="00C0355F"/>
    <w:rsid w:val="00C2062D"/>
    <w:rsid w:val="00C20A36"/>
    <w:rsid w:val="00C44506"/>
    <w:rsid w:val="00C55A40"/>
    <w:rsid w:val="00C66A2A"/>
    <w:rsid w:val="00C7053D"/>
    <w:rsid w:val="00CB1797"/>
    <w:rsid w:val="00CB2525"/>
    <w:rsid w:val="00CF70B3"/>
    <w:rsid w:val="00D33611"/>
    <w:rsid w:val="00D34F52"/>
    <w:rsid w:val="00D732FB"/>
    <w:rsid w:val="00D74F74"/>
    <w:rsid w:val="00D93965"/>
    <w:rsid w:val="00DB11DE"/>
    <w:rsid w:val="00DC7196"/>
    <w:rsid w:val="00E15844"/>
    <w:rsid w:val="00E16C70"/>
    <w:rsid w:val="00E2122C"/>
    <w:rsid w:val="00E3467C"/>
    <w:rsid w:val="00E367D1"/>
    <w:rsid w:val="00E4069C"/>
    <w:rsid w:val="00E40DA4"/>
    <w:rsid w:val="00E43DD8"/>
    <w:rsid w:val="00E6593A"/>
    <w:rsid w:val="00E76895"/>
    <w:rsid w:val="00ED4642"/>
    <w:rsid w:val="00EE0FF7"/>
    <w:rsid w:val="00F0280F"/>
    <w:rsid w:val="00F03D53"/>
    <w:rsid w:val="00F05E60"/>
    <w:rsid w:val="00F13589"/>
    <w:rsid w:val="00F179B8"/>
    <w:rsid w:val="00F35DA6"/>
    <w:rsid w:val="00F50488"/>
    <w:rsid w:val="00F52334"/>
    <w:rsid w:val="00F7364F"/>
    <w:rsid w:val="00F84127"/>
    <w:rsid w:val="00FA7B63"/>
    <w:rsid w:val="00FC691B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3"/>
        <w:szCs w:val="23"/>
        <w:lang w:val="sk-SK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"/>
    <w:qFormat/>
    <w:rsid w:val="0051517B"/>
    <w:pPr>
      <w:spacing w:line="264" w:lineRule="auto"/>
      <w:ind w:firstLine="284"/>
    </w:pPr>
    <w:rPr>
      <w:rFonts w:ascii="Times New Roman" w:hAnsi="Times New Roman"/>
      <w:sz w:val="22"/>
    </w:rPr>
  </w:style>
  <w:style w:type="paragraph" w:styleId="Nadpis1">
    <w:name w:val="heading 1"/>
    <w:aliases w:val="Nadpis 1_B5"/>
    <w:basedOn w:val="Normlny"/>
    <w:next w:val="Normlny"/>
    <w:link w:val="Nadpis1Char"/>
    <w:uiPriority w:val="9"/>
    <w:qFormat/>
    <w:rsid w:val="0051517B"/>
    <w:pPr>
      <w:keepNext/>
      <w:keepLines/>
      <w:spacing w:before="480" w:after="360" w:line="240" w:lineRule="auto"/>
      <w:ind w:left="510" w:hanging="510"/>
      <w:jc w:val="left"/>
      <w:outlineLvl w:val="0"/>
    </w:pPr>
    <w:rPr>
      <w:rFonts w:eastAsiaTheme="majorEastAsia" w:cstheme="majorBidi"/>
      <w:b/>
      <w:bCs/>
      <w:smallCaps/>
      <w:spacing w:val="8"/>
      <w:sz w:val="30"/>
      <w:szCs w:val="28"/>
    </w:rPr>
  </w:style>
  <w:style w:type="paragraph" w:styleId="Nadpis2">
    <w:name w:val="heading 2"/>
    <w:aliases w:val="Nadpis 2_B5"/>
    <w:basedOn w:val="Normlny"/>
    <w:next w:val="Normlny"/>
    <w:link w:val="Nadpis2Char"/>
    <w:uiPriority w:val="9"/>
    <w:unhideWhenUsed/>
    <w:qFormat/>
    <w:rsid w:val="0051517B"/>
    <w:pPr>
      <w:keepNext/>
      <w:keepLines/>
      <w:spacing w:before="360" w:after="240" w:line="240" w:lineRule="auto"/>
      <w:ind w:left="510" w:hanging="51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_B5"/>
    <w:basedOn w:val="Normlny"/>
    <w:next w:val="Normlny"/>
    <w:link w:val="Nadpis3Char"/>
    <w:uiPriority w:val="9"/>
    <w:unhideWhenUsed/>
    <w:qFormat/>
    <w:rsid w:val="0051517B"/>
    <w:pPr>
      <w:keepNext/>
      <w:keepLines/>
      <w:spacing w:before="240" w:after="240" w:line="240" w:lineRule="auto"/>
      <w:ind w:firstLine="0"/>
      <w:jc w:val="left"/>
      <w:outlineLvl w:val="2"/>
    </w:pPr>
    <w:rPr>
      <w:rFonts w:eastAsiaTheme="majorEastAsia" w:cstheme="majorBidi"/>
      <w:b/>
      <w:bCs/>
      <w:i/>
      <w:sz w:val="25"/>
    </w:rPr>
  </w:style>
  <w:style w:type="paragraph" w:styleId="Nadpis4">
    <w:name w:val="heading 4"/>
    <w:aliases w:val="Nadpis 4_B5"/>
    <w:basedOn w:val="Normlny"/>
    <w:next w:val="Normlny"/>
    <w:link w:val="Nadpis4Char"/>
    <w:uiPriority w:val="9"/>
    <w:unhideWhenUsed/>
    <w:qFormat/>
    <w:rsid w:val="0051517B"/>
    <w:pPr>
      <w:keepNext/>
      <w:keepLines/>
      <w:spacing w:before="240" w:after="120" w:line="240" w:lineRule="auto"/>
      <w:ind w:firstLine="0"/>
      <w:jc w:val="left"/>
      <w:outlineLvl w:val="3"/>
    </w:pPr>
    <w:rPr>
      <w:rFonts w:eastAsiaTheme="majorEastAsia" w:cstheme="majorBidi"/>
      <w:bCs/>
      <w:i/>
      <w:iCs/>
      <w:sz w:val="24"/>
    </w:rPr>
  </w:style>
  <w:style w:type="paragraph" w:styleId="Nadpis5">
    <w:name w:val="heading 5"/>
    <w:aliases w:val="Nadpis tab.,graf."/>
    <w:basedOn w:val="Normlny"/>
    <w:next w:val="Normlny"/>
    <w:link w:val="Nadpis5Char"/>
    <w:uiPriority w:val="9"/>
    <w:unhideWhenUsed/>
    <w:qFormat/>
    <w:rsid w:val="00BF62C8"/>
    <w:pPr>
      <w:keepNext/>
      <w:keepLines/>
      <w:spacing w:after="60" w:line="240" w:lineRule="auto"/>
      <w:ind w:firstLine="0"/>
      <w:outlineLvl w:val="4"/>
    </w:pPr>
    <w:rPr>
      <w:rFonts w:eastAsiaTheme="majorEastAsia" w:cstheme="majorBidi"/>
      <w:b/>
      <w:sz w:val="21"/>
    </w:rPr>
  </w:style>
  <w:style w:type="paragraph" w:styleId="Nadpis6">
    <w:name w:val="heading 6"/>
    <w:aliases w:val="Tabuľka 1.1"/>
    <w:basedOn w:val="Normlny"/>
    <w:next w:val="Normlny"/>
    <w:link w:val="Nadpis6Char"/>
    <w:uiPriority w:val="9"/>
    <w:unhideWhenUsed/>
    <w:qFormat/>
    <w:rsid w:val="004F042E"/>
    <w:pPr>
      <w:keepNext/>
      <w:keepLines/>
      <w:spacing w:before="360"/>
      <w:ind w:firstLine="0"/>
      <w:jc w:val="left"/>
      <w:outlineLvl w:val="5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_B5 Char"/>
    <w:basedOn w:val="Predvolenpsmoodseku"/>
    <w:link w:val="Nadpis1"/>
    <w:uiPriority w:val="9"/>
    <w:rsid w:val="0051517B"/>
    <w:rPr>
      <w:rFonts w:ascii="Times New Roman" w:eastAsiaTheme="majorEastAsia" w:hAnsi="Times New Roman" w:cstheme="majorBidi"/>
      <w:b/>
      <w:bCs/>
      <w:smallCaps/>
      <w:spacing w:val="8"/>
      <w:sz w:val="30"/>
      <w:szCs w:val="28"/>
    </w:rPr>
  </w:style>
  <w:style w:type="paragraph" w:styleId="Bezriadkovania">
    <w:name w:val="No Spacing"/>
    <w:uiPriority w:val="1"/>
    <w:rsid w:val="00CF70B3"/>
    <w:pPr>
      <w:spacing w:line="240" w:lineRule="auto"/>
    </w:pPr>
  </w:style>
  <w:style w:type="character" w:customStyle="1" w:styleId="Nadpis2Char">
    <w:name w:val="Nadpis 2 Char"/>
    <w:aliases w:val="Nadpis 2_B5 Char"/>
    <w:basedOn w:val="Predvolenpsmoodseku"/>
    <w:link w:val="Nadpis2"/>
    <w:uiPriority w:val="9"/>
    <w:rsid w:val="0051517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aliases w:val="Nadpis 3_B5 Char"/>
    <w:basedOn w:val="Predvolenpsmoodseku"/>
    <w:link w:val="Nadpis3"/>
    <w:uiPriority w:val="9"/>
    <w:rsid w:val="0051517B"/>
    <w:rPr>
      <w:rFonts w:ascii="Times New Roman" w:eastAsiaTheme="majorEastAsia" w:hAnsi="Times New Roman" w:cstheme="majorBidi"/>
      <w:b/>
      <w:bCs/>
      <w:i/>
      <w:sz w:val="25"/>
    </w:rPr>
  </w:style>
  <w:style w:type="character" w:customStyle="1" w:styleId="Nadpis4Char">
    <w:name w:val="Nadpis 4 Char"/>
    <w:aliases w:val="Nadpis 4_B5 Char"/>
    <w:basedOn w:val="Predvolenpsmoodseku"/>
    <w:link w:val="Nadpis4"/>
    <w:uiPriority w:val="9"/>
    <w:rsid w:val="0051517B"/>
    <w:rPr>
      <w:rFonts w:ascii="Times New Roman" w:eastAsiaTheme="majorEastAsia" w:hAnsi="Times New Roman" w:cstheme="majorBidi"/>
      <w:bCs/>
      <w:i/>
      <w:iCs/>
      <w:sz w:val="24"/>
    </w:rPr>
  </w:style>
  <w:style w:type="paragraph" w:styleId="Hlavika">
    <w:name w:val="header"/>
    <w:basedOn w:val="Normlny"/>
    <w:link w:val="HlavikaChar"/>
    <w:uiPriority w:val="99"/>
    <w:unhideWhenUsed/>
    <w:rsid w:val="00C024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24E4"/>
  </w:style>
  <w:style w:type="paragraph" w:styleId="Pta">
    <w:name w:val="footer"/>
    <w:basedOn w:val="Normlny"/>
    <w:link w:val="PtaChar"/>
    <w:uiPriority w:val="99"/>
    <w:unhideWhenUsed/>
    <w:rsid w:val="00C024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4E4"/>
  </w:style>
  <w:style w:type="paragraph" w:styleId="Podtitul">
    <w:name w:val="Subtitle"/>
    <w:aliases w:val="Tabuľka_B5"/>
    <w:basedOn w:val="Normlny"/>
    <w:next w:val="Normlny"/>
    <w:link w:val="PodtitulChar"/>
    <w:uiPriority w:val="11"/>
    <w:rsid w:val="00FE03AC"/>
    <w:pPr>
      <w:numPr>
        <w:ilvl w:val="1"/>
      </w:numPr>
      <w:spacing w:before="360"/>
      <w:ind w:left="1304" w:hanging="1304"/>
      <w:jc w:val="left"/>
    </w:pPr>
    <w:rPr>
      <w:rFonts w:eastAsiaTheme="majorEastAsia" w:cstheme="majorBidi"/>
      <w:iCs/>
      <w:szCs w:val="24"/>
    </w:rPr>
  </w:style>
  <w:style w:type="character" w:customStyle="1" w:styleId="PodtitulChar">
    <w:name w:val="Podtitul Char"/>
    <w:aliases w:val="Tabuľka_B5 Char"/>
    <w:basedOn w:val="Predvolenpsmoodseku"/>
    <w:link w:val="Podtitul"/>
    <w:uiPriority w:val="11"/>
    <w:rsid w:val="00FE03AC"/>
    <w:rPr>
      <w:rFonts w:ascii="Times New Roman" w:eastAsiaTheme="majorEastAsia" w:hAnsi="Times New Roman" w:cstheme="majorBidi"/>
      <w:iCs/>
      <w:sz w:val="22"/>
      <w:szCs w:val="24"/>
    </w:rPr>
  </w:style>
  <w:style w:type="character" w:styleId="Jemnzvraznenie">
    <w:name w:val="Subtle Emphasis"/>
    <w:aliases w:val="Zdroj"/>
    <w:basedOn w:val="PodtitulChar"/>
    <w:uiPriority w:val="19"/>
    <w:qFormat/>
    <w:rsid w:val="004F4B08"/>
    <w:rPr>
      <w:rFonts w:ascii="Times New Roman" w:eastAsiaTheme="majorEastAsia" w:hAnsi="Times New Roman" w:cstheme="majorBidi"/>
      <w:i w:val="0"/>
      <w:iCs/>
      <w:color w:val="auto"/>
      <w:sz w:val="16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5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A40"/>
    <w:rPr>
      <w:rFonts w:ascii="Tahoma" w:hAnsi="Tahoma" w:cs="Tahoma"/>
      <w:sz w:val="16"/>
      <w:szCs w:val="16"/>
    </w:rPr>
  </w:style>
  <w:style w:type="paragraph" w:customStyle="1" w:styleId="A5Nadpisy">
    <w:name w:val="A5_Nadpisy"/>
    <w:basedOn w:val="Nadpis4"/>
    <w:link w:val="A5NadpisyChar"/>
    <w:rsid w:val="00604BE4"/>
    <w:pPr>
      <w:numPr>
        <w:numId w:val="1"/>
      </w:numPr>
      <w:spacing w:before="480"/>
      <w:ind w:left="357" w:hanging="357"/>
    </w:pPr>
    <w:rPr>
      <w:rFonts w:ascii="Arial Narrow" w:hAnsi="Arial Narrow"/>
      <w:b/>
      <w:i w:val="0"/>
      <w:color w:val="000000" w:themeColor="text1"/>
      <w:szCs w:val="24"/>
    </w:rPr>
  </w:style>
  <w:style w:type="character" w:customStyle="1" w:styleId="A5NadpisyChar">
    <w:name w:val="A5_Nadpisy Char"/>
    <w:basedOn w:val="Nadpis4Char"/>
    <w:link w:val="A5Nadpisy"/>
    <w:rsid w:val="00604BE4"/>
    <w:rPr>
      <w:rFonts w:ascii="Arial Narrow" w:eastAsiaTheme="majorEastAsia" w:hAnsi="Arial Narrow" w:cstheme="majorBidi"/>
      <w:b/>
      <w:bCs/>
      <w:i w:val="0"/>
      <w:iCs/>
      <w:color w:val="000000" w:themeColor="text1"/>
      <w:sz w:val="24"/>
      <w:szCs w:val="24"/>
    </w:rPr>
  </w:style>
  <w:style w:type="table" w:styleId="Mriekatabuky">
    <w:name w:val="Table Grid"/>
    <w:basedOn w:val="Normlnatabuka"/>
    <w:uiPriority w:val="59"/>
    <w:rsid w:val="00422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aliases w:val="Nadpis tab. Char,graf. Char"/>
    <w:basedOn w:val="Predvolenpsmoodseku"/>
    <w:link w:val="Nadpis5"/>
    <w:uiPriority w:val="9"/>
    <w:rsid w:val="00BF62C8"/>
    <w:rPr>
      <w:rFonts w:ascii="Times New Roman" w:eastAsiaTheme="majorEastAsia" w:hAnsi="Times New Roman" w:cstheme="majorBidi"/>
      <w:b/>
      <w:sz w:val="21"/>
    </w:rPr>
  </w:style>
  <w:style w:type="character" w:customStyle="1" w:styleId="Nadpis6Char">
    <w:name w:val="Nadpis 6 Char"/>
    <w:aliases w:val="Tabuľka 1.1 Char"/>
    <w:basedOn w:val="Predvolenpsmoodseku"/>
    <w:link w:val="Nadpis6"/>
    <w:uiPriority w:val="9"/>
    <w:rsid w:val="004F042E"/>
    <w:rPr>
      <w:rFonts w:ascii="Times New Roman" w:eastAsiaTheme="majorEastAsia" w:hAnsi="Times New Roman" w:cstheme="majorBidi"/>
      <w:iCs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3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364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4F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4F"/>
    <w:rPr>
      <w:rFonts w:asciiTheme="minorHAnsi" w:hAnsiTheme="minorHAns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4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7364F"/>
    <w:rPr>
      <w:color w:val="0000FF" w:themeColor="hyperlink"/>
      <w:u w:val="single"/>
    </w:rPr>
  </w:style>
  <w:style w:type="paragraph" w:styleId="Bibliografia">
    <w:name w:val="Bibliography"/>
    <w:basedOn w:val="Normlny"/>
    <w:next w:val="Normlny"/>
    <w:uiPriority w:val="37"/>
    <w:unhideWhenUsed/>
    <w:rsid w:val="00CB1797"/>
  </w:style>
  <w:style w:type="paragraph" w:styleId="Popis">
    <w:name w:val="caption"/>
    <w:basedOn w:val="Normlny"/>
    <w:next w:val="Normlny"/>
    <w:uiPriority w:val="35"/>
    <w:unhideWhenUsed/>
    <w:qFormat/>
    <w:rsid w:val="000B259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68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8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82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8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828"/>
    <w:rPr>
      <w:rFonts w:ascii="Times New Roman" w:hAnsi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C206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3"/>
        <w:szCs w:val="23"/>
        <w:lang w:val="sk-SK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"/>
    <w:qFormat/>
    <w:rsid w:val="0051517B"/>
    <w:pPr>
      <w:spacing w:line="264" w:lineRule="auto"/>
      <w:ind w:firstLine="284"/>
    </w:pPr>
    <w:rPr>
      <w:rFonts w:ascii="Times New Roman" w:hAnsi="Times New Roman"/>
      <w:sz w:val="22"/>
    </w:rPr>
  </w:style>
  <w:style w:type="paragraph" w:styleId="Nadpis1">
    <w:name w:val="heading 1"/>
    <w:aliases w:val="Nadpis 1_B5"/>
    <w:basedOn w:val="Normlny"/>
    <w:next w:val="Normlny"/>
    <w:link w:val="Nadpis1Char"/>
    <w:uiPriority w:val="9"/>
    <w:qFormat/>
    <w:rsid w:val="0051517B"/>
    <w:pPr>
      <w:keepNext/>
      <w:keepLines/>
      <w:spacing w:before="480" w:after="360" w:line="240" w:lineRule="auto"/>
      <w:ind w:left="510" w:hanging="510"/>
      <w:jc w:val="left"/>
      <w:outlineLvl w:val="0"/>
    </w:pPr>
    <w:rPr>
      <w:rFonts w:eastAsiaTheme="majorEastAsia" w:cstheme="majorBidi"/>
      <w:b/>
      <w:bCs/>
      <w:smallCaps/>
      <w:spacing w:val="8"/>
      <w:sz w:val="30"/>
      <w:szCs w:val="28"/>
    </w:rPr>
  </w:style>
  <w:style w:type="paragraph" w:styleId="Nadpis2">
    <w:name w:val="heading 2"/>
    <w:aliases w:val="Nadpis 2_B5"/>
    <w:basedOn w:val="Normlny"/>
    <w:next w:val="Normlny"/>
    <w:link w:val="Nadpis2Char"/>
    <w:uiPriority w:val="9"/>
    <w:unhideWhenUsed/>
    <w:qFormat/>
    <w:rsid w:val="0051517B"/>
    <w:pPr>
      <w:keepNext/>
      <w:keepLines/>
      <w:spacing w:before="360" w:after="240" w:line="240" w:lineRule="auto"/>
      <w:ind w:left="510" w:hanging="51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_B5"/>
    <w:basedOn w:val="Normlny"/>
    <w:next w:val="Normlny"/>
    <w:link w:val="Nadpis3Char"/>
    <w:uiPriority w:val="9"/>
    <w:unhideWhenUsed/>
    <w:qFormat/>
    <w:rsid w:val="0051517B"/>
    <w:pPr>
      <w:keepNext/>
      <w:keepLines/>
      <w:spacing w:before="240" w:after="240" w:line="240" w:lineRule="auto"/>
      <w:ind w:firstLine="0"/>
      <w:jc w:val="left"/>
      <w:outlineLvl w:val="2"/>
    </w:pPr>
    <w:rPr>
      <w:rFonts w:eastAsiaTheme="majorEastAsia" w:cstheme="majorBidi"/>
      <w:b/>
      <w:bCs/>
      <w:i/>
      <w:sz w:val="25"/>
    </w:rPr>
  </w:style>
  <w:style w:type="paragraph" w:styleId="Nadpis4">
    <w:name w:val="heading 4"/>
    <w:aliases w:val="Nadpis 4_B5"/>
    <w:basedOn w:val="Normlny"/>
    <w:next w:val="Normlny"/>
    <w:link w:val="Nadpis4Char"/>
    <w:uiPriority w:val="9"/>
    <w:unhideWhenUsed/>
    <w:qFormat/>
    <w:rsid w:val="0051517B"/>
    <w:pPr>
      <w:keepNext/>
      <w:keepLines/>
      <w:spacing w:before="240" w:after="120" w:line="240" w:lineRule="auto"/>
      <w:ind w:firstLine="0"/>
      <w:jc w:val="left"/>
      <w:outlineLvl w:val="3"/>
    </w:pPr>
    <w:rPr>
      <w:rFonts w:eastAsiaTheme="majorEastAsia" w:cstheme="majorBidi"/>
      <w:bCs/>
      <w:i/>
      <w:iCs/>
      <w:sz w:val="24"/>
    </w:rPr>
  </w:style>
  <w:style w:type="paragraph" w:styleId="Nadpis5">
    <w:name w:val="heading 5"/>
    <w:aliases w:val="Nadpis tab.,graf."/>
    <w:basedOn w:val="Normlny"/>
    <w:next w:val="Normlny"/>
    <w:link w:val="Nadpis5Char"/>
    <w:uiPriority w:val="9"/>
    <w:unhideWhenUsed/>
    <w:qFormat/>
    <w:rsid w:val="00BF62C8"/>
    <w:pPr>
      <w:keepNext/>
      <w:keepLines/>
      <w:spacing w:after="60" w:line="240" w:lineRule="auto"/>
      <w:ind w:firstLine="0"/>
      <w:outlineLvl w:val="4"/>
    </w:pPr>
    <w:rPr>
      <w:rFonts w:eastAsiaTheme="majorEastAsia" w:cstheme="majorBidi"/>
      <w:b/>
      <w:sz w:val="21"/>
    </w:rPr>
  </w:style>
  <w:style w:type="paragraph" w:styleId="Nadpis6">
    <w:name w:val="heading 6"/>
    <w:aliases w:val="Tabuľka 1.1"/>
    <w:basedOn w:val="Normlny"/>
    <w:next w:val="Normlny"/>
    <w:link w:val="Nadpis6Char"/>
    <w:uiPriority w:val="9"/>
    <w:unhideWhenUsed/>
    <w:qFormat/>
    <w:rsid w:val="004F042E"/>
    <w:pPr>
      <w:keepNext/>
      <w:keepLines/>
      <w:spacing w:before="360"/>
      <w:ind w:firstLine="0"/>
      <w:jc w:val="left"/>
      <w:outlineLvl w:val="5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_B5 Char"/>
    <w:basedOn w:val="Predvolenpsmoodseku"/>
    <w:link w:val="Nadpis1"/>
    <w:uiPriority w:val="9"/>
    <w:rsid w:val="0051517B"/>
    <w:rPr>
      <w:rFonts w:ascii="Times New Roman" w:eastAsiaTheme="majorEastAsia" w:hAnsi="Times New Roman" w:cstheme="majorBidi"/>
      <w:b/>
      <w:bCs/>
      <w:smallCaps/>
      <w:spacing w:val="8"/>
      <w:sz w:val="30"/>
      <w:szCs w:val="28"/>
    </w:rPr>
  </w:style>
  <w:style w:type="paragraph" w:styleId="Bezriadkovania">
    <w:name w:val="No Spacing"/>
    <w:uiPriority w:val="1"/>
    <w:rsid w:val="00CF70B3"/>
    <w:pPr>
      <w:spacing w:line="240" w:lineRule="auto"/>
    </w:pPr>
  </w:style>
  <w:style w:type="character" w:customStyle="1" w:styleId="Nadpis2Char">
    <w:name w:val="Nadpis 2 Char"/>
    <w:aliases w:val="Nadpis 2_B5 Char"/>
    <w:basedOn w:val="Predvolenpsmoodseku"/>
    <w:link w:val="Nadpis2"/>
    <w:uiPriority w:val="9"/>
    <w:rsid w:val="0051517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aliases w:val="Nadpis 3_B5 Char"/>
    <w:basedOn w:val="Predvolenpsmoodseku"/>
    <w:link w:val="Nadpis3"/>
    <w:uiPriority w:val="9"/>
    <w:rsid w:val="0051517B"/>
    <w:rPr>
      <w:rFonts w:ascii="Times New Roman" w:eastAsiaTheme="majorEastAsia" w:hAnsi="Times New Roman" w:cstheme="majorBidi"/>
      <w:b/>
      <w:bCs/>
      <w:i/>
      <w:sz w:val="25"/>
    </w:rPr>
  </w:style>
  <w:style w:type="character" w:customStyle="1" w:styleId="Nadpis4Char">
    <w:name w:val="Nadpis 4 Char"/>
    <w:aliases w:val="Nadpis 4_B5 Char"/>
    <w:basedOn w:val="Predvolenpsmoodseku"/>
    <w:link w:val="Nadpis4"/>
    <w:uiPriority w:val="9"/>
    <w:rsid w:val="0051517B"/>
    <w:rPr>
      <w:rFonts w:ascii="Times New Roman" w:eastAsiaTheme="majorEastAsia" w:hAnsi="Times New Roman" w:cstheme="majorBidi"/>
      <w:bCs/>
      <w:i/>
      <w:iCs/>
      <w:sz w:val="24"/>
    </w:rPr>
  </w:style>
  <w:style w:type="paragraph" w:styleId="Hlavika">
    <w:name w:val="header"/>
    <w:basedOn w:val="Normlny"/>
    <w:link w:val="HlavikaChar"/>
    <w:uiPriority w:val="99"/>
    <w:unhideWhenUsed/>
    <w:rsid w:val="00C024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24E4"/>
  </w:style>
  <w:style w:type="paragraph" w:styleId="Pta">
    <w:name w:val="footer"/>
    <w:basedOn w:val="Normlny"/>
    <w:link w:val="PtaChar"/>
    <w:uiPriority w:val="99"/>
    <w:unhideWhenUsed/>
    <w:rsid w:val="00C024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4E4"/>
  </w:style>
  <w:style w:type="paragraph" w:styleId="Podtitul">
    <w:name w:val="Subtitle"/>
    <w:aliases w:val="Tabuľka_B5"/>
    <w:basedOn w:val="Normlny"/>
    <w:next w:val="Normlny"/>
    <w:link w:val="PodtitulChar"/>
    <w:uiPriority w:val="11"/>
    <w:rsid w:val="00FE03AC"/>
    <w:pPr>
      <w:numPr>
        <w:ilvl w:val="1"/>
      </w:numPr>
      <w:spacing w:before="360"/>
      <w:ind w:left="1304" w:hanging="1304"/>
      <w:jc w:val="left"/>
    </w:pPr>
    <w:rPr>
      <w:rFonts w:eastAsiaTheme="majorEastAsia" w:cstheme="majorBidi"/>
      <w:iCs/>
      <w:szCs w:val="24"/>
    </w:rPr>
  </w:style>
  <w:style w:type="character" w:customStyle="1" w:styleId="PodtitulChar">
    <w:name w:val="Podtitul Char"/>
    <w:aliases w:val="Tabuľka_B5 Char"/>
    <w:basedOn w:val="Predvolenpsmoodseku"/>
    <w:link w:val="Podtitul"/>
    <w:uiPriority w:val="11"/>
    <w:rsid w:val="00FE03AC"/>
    <w:rPr>
      <w:rFonts w:ascii="Times New Roman" w:eastAsiaTheme="majorEastAsia" w:hAnsi="Times New Roman" w:cstheme="majorBidi"/>
      <w:iCs/>
      <w:sz w:val="22"/>
      <w:szCs w:val="24"/>
    </w:rPr>
  </w:style>
  <w:style w:type="character" w:styleId="Jemnzvraznenie">
    <w:name w:val="Subtle Emphasis"/>
    <w:aliases w:val="Zdroj"/>
    <w:basedOn w:val="PodtitulChar"/>
    <w:uiPriority w:val="19"/>
    <w:qFormat/>
    <w:rsid w:val="004F4B08"/>
    <w:rPr>
      <w:rFonts w:ascii="Times New Roman" w:eastAsiaTheme="majorEastAsia" w:hAnsi="Times New Roman" w:cstheme="majorBidi"/>
      <w:i w:val="0"/>
      <w:iCs/>
      <w:color w:val="auto"/>
      <w:sz w:val="16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5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A40"/>
    <w:rPr>
      <w:rFonts w:ascii="Tahoma" w:hAnsi="Tahoma" w:cs="Tahoma"/>
      <w:sz w:val="16"/>
      <w:szCs w:val="16"/>
    </w:rPr>
  </w:style>
  <w:style w:type="paragraph" w:customStyle="1" w:styleId="A5Nadpisy">
    <w:name w:val="A5_Nadpisy"/>
    <w:basedOn w:val="Nadpis4"/>
    <w:link w:val="A5NadpisyChar"/>
    <w:rsid w:val="00604BE4"/>
    <w:pPr>
      <w:numPr>
        <w:numId w:val="1"/>
      </w:numPr>
      <w:spacing w:before="480"/>
      <w:ind w:left="357" w:hanging="357"/>
    </w:pPr>
    <w:rPr>
      <w:rFonts w:ascii="Arial Narrow" w:hAnsi="Arial Narrow"/>
      <w:b/>
      <w:i w:val="0"/>
      <w:color w:val="000000" w:themeColor="text1"/>
      <w:szCs w:val="24"/>
    </w:rPr>
  </w:style>
  <w:style w:type="character" w:customStyle="1" w:styleId="A5NadpisyChar">
    <w:name w:val="A5_Nadpisy Char"/>
    <w:basedOn w:val="Nadpis4Char"/>
    <w:link w:val="A5Nadpisy"/>
    <w:rsid w:val="00604BE4"/>
    <w:rPr>
      <w:rFonts w:ascii="Arial Narrow" w:eastAsiaTheme="majorEastAsia" w:hAnsi="Arial Narrow" w:cstheme="majorBidi"/>
      <w:b/>
      <w:bCs/>
      <w:i w:val="0"/>
      <w:iCs/>
      <w:color w:val="000000" w:themeColor="text1"/>
      <w:sz w:val="24"/>
      <w:szCs w:val="24"/>
    </w:rPr>
  </w:style>
  <w:style w:type="table" w:styleId="Mriekatabuky">
    <w:name w:val="Table Grid"/>
    <w:basedOn w:val="Normlnatabuka"/>
    <w:uiPriority w:val="59"/>
    <w:rsid w:val="00422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aliases w:val="Nadpis tab. Char,graf. Char"/>
    <w:basedOn w:val="Predvolenpsmoodseku"/>
    <w:link w:val="Nadpis5"/>
    <w:uiPriority w:val="9"/>
    <w:rsid w:val="00BF62C8"/>
    <w:rPr>
      <w:rFonts w:ascii="Times New Roman" w:eastAsiaTheme="majorEastAsia" w:hAnsi="Times New Roman" w:cstheme="majorBidi"/>
      <w:b/>
      <w:sz w:val="21"/>
    </w:rPr>
  </w:style>
  <w:style w:type="character" w:customStyle="1" w:styleId="Nadpis6Char">
    <w:name w:val="Nadpis 6 Char"/>
    <w:aliases w:val="Tabuľka 1.1 Char"/>
    <w:basedOn w:val="Predvolenpsmoodseku"/>
    <w:link w:val="Nadpis6"/>
    <w:uiPriority w:val="9"/>
    <w:rsid w:val="004F042E"/>
    <w:rPr>
      <w:rFonts w:ascii="Times New Roman" w:eastAsiaTheme="majorEastAsia" w:hAnsi="Times New Roman" w:cstheme="majorBidi"/>
      <w:iCs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3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364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4F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4F"/>
    <w:rPr>
      <w:rFonts w:asciiTheme="minorHAnsi" w:hAnsiTheme="minorHAns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4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7364F"/>
    <w:rPr>
      <w:color w:val="0000FF" w:themeColor="hyperlink"/>
      <w:u w:val="single"/>
    </w:rPr>
  </w:style>
  <w:style w:type="paragraph" w:styleId="Bibliografia">
    <w:name w:val="Bibliography"/>
    <w:basedOn w:val="Normlny"/>
    <w:next w:val="Normlny"/>
    <w:uiPriority w:val="37"/>
    <w:unhideWhenUsed/>
    <w:rsid w:val="00CB1797"/>
  </w:style>
  <w:style w:type="paragraph" w:styleId="Popis">
    <w:name w:val="caption"/>
    <w:basedOn w:val="Normlny"/>
    <w:next w:val="Normlny"/>
    <w:uiPriority w:val="35"/>
    <w:unhideWhenUsed/>
    <w:qFormat/>
    <w:rsid w:val="000B259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68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8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82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8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828"/>
    <w:rPr>
      <w:rFonts w:ascii="Times New Roman" w:hAnsi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C20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CED09</b:Tag>
    <b:SourceType>Report</b:SourceType>
    <b:Guid>{DBF54C56-4F17-46BB-BBC1-BD86D2F5A576}</b:Guid>
    <b:Author>
      <b:Author>
        <b:Corporate>CEDEFOP</b:Corporate>
      </b:Author>
    </b:Author>
    <b:Title>Future Skill Needs in Europe, Medium-Term Forecast, Background Technical Report</b:Title>
    <b:Year>2009</b:Year>
    <b:Publisher>Publications Office of the European Union</b:Publisher>
    <b:City>Luxembourg</b:City>
    <b:StandardNumber>ISBN 978-92-896-0506-9</b:StandardNumber>
    <b:RefOrder>1</b:RefOrder>
  </b:Source>
  <b:Source>
    <b:Tag>Eur13</b:Tag>
    <b:SourceType>DocumentFromInternetSite</b:SourceType>
    <b:Guid>{187FFF81-7ED4-4B9D-BB06-991B6F02A477}</b:Guid>
    <b:Author>
      <b:Author>
        <b:Corporate>Eurostat</b:Corporate>
      </b:Author>
    </b:Author>
    <b:Title>Eurostat EUROPOP 2013</b:Title>
    <b:Year>2013</b:Year>
    <b:InternetSiteTitle>proj_13np</b:InternetSiteTitle>
    <b:ProductionCompany>Eurostat</b:ProductionCompany>
    <b:YearAccessed>2014</b:YearAccessed>
    <b:MonthAccessed>8</b:MonthAccessed>
    <b:DayAccessed>21</b:DayAccessed>
    <b:URL>http://epp.eurostat.ec.europa.eu/portal/page/portal/statistics/search_database</b:URL>
    <b:RefOrder>3</b:RefOrder>
  </b:Source>
  <b:Source>
    <b:Tag>Wil08</b:Tag>
    <b:SourceType>DocumentFromInternetSite</b:SourceType>
    <b:Guid>{E385B649-41CA-4994-802F-C0050B5CD37E}</b:Guid>
    <b:Author>
      <b:Author>
        <b:NameList>
          <b:Person>
            <b:Last>Wilson</b:Last>
            <b:First>Rob</b:First>
            <b:Middle>A</b:Middle>
          </b:Person>
        </b:NameList>
      </b:Author>
    </b:Author>
    <b:Title>Using the European LFS to anticipate changing skill needs</b:Title>
    <b:InternetSiteTitle>http://www2.warwick.ac.uk</b:InternetSiteTitle>
    <b:Year>2008</b:Year>
    <b:YearAccessed>2014</b:YearAccessed>
    <b:MonthAccessed>8</b:MonthAccessed>
    <b:URL>http://www2.warwick.ac.uk/fac/soc/ier/publications/2008/wilson_2008_napoli_lfs_paper.pdf</b:URL>
    <b:City>Naples</b:City>
    <b:RefOrder>4</b:RefOrder>
  </b:Source>
  <b:Source>
    <b:Tag>Ste111</b:Tag>
    <b:SourceType>Book</b:SourceType>
    <b:Guid>{F6CBF501-6178-4CB7-B54A-0628705A6A5A}</b:Guid>
    <b:Author>
      <b:Author>
        <b:NameList>
          <b:Person>
            <b:Last>Stehrer</b:Last>
            <b:First>R.</b:First>
          </b:Person>
          <b:Person>
            <b:Last>Ward</b:Last>
            <b:First>T.</b:First>
          </b:Person>
        </b:NameList>
      </b:Author>
    </b:Author>
    <b:Title>Employment structures by detailed accounts on educational attainment levels, occupation and fields of study.</b:Title>
    <b:Year>2011</b:Year>
    <b:City>Warwick</b:City>
    <b:Publisher>IER - Institute of Employment Research</b:Publisher>
    <b:RefOrder>5</b:RefOrder>
  </b:Source>
  <b:Source>
    <b:Tag>Eng87</b:Tag>
    <b:SourceType>ArticleInAPeriodical</b:SourceType>
    <b:Guid>{71EF6101-799E-4EDF-9F40-B6446435FABD}</b:Guid>
    <b:Author>
      <b:Author>
        <b:NameList>
          <b:Person>
            <b:Last>Engle</b:Last>
            <b:First>R.</b:First>
          </b:Person>
          <b:Person>
            <b:Last>Granger</b:Last>
            <b:First>C.</b:First>
          </b:Person>
        </b:NameList>
      </b:Author>
    </b:Author>
    <b:Title>Cointegration and error correction: representation, estimation and testing.</b:Title>
    <b:Year>1987</b:Year>
    <b:PeriodicalTitle>Econometrica</b:PeriodicalTitle>
    <b:Volume>55</b:Volume>
    <b:Issue>2</b:Issue>
    <b:Pages>251-256</b:Pages>
    <b:RefOrder>6</b:RefOrder>
  </b:Source>
  <b:Source>
    <b:Tag>Spi051</b:Tag>
    <b:SourceType>Book</b:SourceType>
    <b:Guid>{EFA04A0A-9B42-4EA2-9CFA-3110698A5109}</b:Guid>
    <b:Author>
      <b:Author>
        <b:NameList>
          <b:Person>
            <b:Last>Spicer</b:Last>
            <b:First>M.</b:First>
          </b:Person>
          <b:Person>
            <b:Last>Reade</b:Last>
            <b:First>J.</b:First>
          </b:Person>
        </b:NameList>
      </b:Author>
    </b:Author>
    <b:Title>Incorporating new EU member economies in multisectoral, multi-region dynamic model: applying shrinkage estimation to E3ME</b:Title>
    <b:Year>2005</b:Year>
    <b:City>London</b:City>
    <b:Publisher>Policy Studies Institute</b:Publisher>
    <b:RefOrder>7</b:RefOrder>
  </b:Source>
  <b:Source>
    <b:Tag>BLS97</b:Tag>
    <b:SourceType>Book</b:SourceType>
    <b:Guid>{256EAABC-B196-44A3-A961-703D4280CBFF}</b:Guid>
    <b:Author>
      <b:Author>
        <b:Corporate>BLS</b:Corporate>
      </b:Author>
    </b:Author>
    <b:Title>Handbook of methods; Chapter 13: employment projections</b:Title>
    <b:Year>1997</b:Year>
    <b:City>Washington, DC</b:City>
    <b:Publisher>Bureau of Labor Statistics</b:Publisher>
    <b:RefOrder>9</b:RefOrder>
  </b:Source>
  <b:Source>
    <b:Tag>Eli97</b:Tag>
    <b:SourceType>ArticleInAPeriodical</b:SourceType>
    <b:Guid>{7065170A-FD74-425B-AA28-A357AFAECC39}</b:Guid>
    <b:Author>
      <b:Author>
        <b:NameList>
          <b:Person>
            <b:Last>Elias</b:Last>
            <b:First>P.</b:First>
          </b:Person>
        </b:NameList>
      </b:Author>
    </b:Author>
    <b:Title>Occupational Classification (ISCO-88):Concepts, Methods, Reliability, Validity and Cross-National Comparability</b:Title>
    <b:PeriodicalTitle>OECD Labour Market and Social Policy Occasional Papers, OECD Publishing No. 20</b:PeriodicalTitle>
    <b:Year>1997</b:Year>
    <b:RefOrder>10</b:RefOrder>
  </b:Source>
  <b:Source>
    <b:Tag>Wor12</b:Tag>
    <b:SourceType>Book</b:SourceType>
    <b:Guid>{7583F5B9-32F7-4985-B1E1-EFF4ADF9CBE1}</b:Guid>
    <b:Author>
      <b:Author>
        <b:NameList>
          <b:Person>
            <b:Last>Workie</b:Last>
            <b:First>Menbere</b:First>
            <b:Middle>Tiruneh</b:Middle>
          </b:Person>
        </b:NameList>
      </b:Author>
    </b:Author>
    <b:Title>Predvídanie potrieb trhu práce v SR (Teoretické východiská a empirické výsledky)</b:Title>
    <b:Year>2012</b:Year>
    <b:City>Bratislava</b:City>
    <b:Publisher>EKONÓM</b:Publisher>
    <b:StandardNumber>ISBN-978-80-7144-204-2</b:StandardNumber>
    <b:RefOrder>11</b:RefOrder>
  </b:Source>
  <b:Source>
    <b:Tag>Pot12</b:Tag>
    <b:SourceType>ArticleInAPeriodical</b:SourceType>
    <b:Guid>{D21E9F8A-C477-4E1F-8FFF-00296BA74735}</b:Guid>
    <b:Title>Prognóza populácie krajov Slovenska do roku 2033</b:Title>
    <b:Year>2012</b:Year>
    <b:LCID>sk-SK</b:LCID>
    <b:JournalName>Forum Statisticum Slovacum</b:JournalName>
    <b:Pages>200-207</b:Pages>
    <b:Author>
      <b:Author>
        <b:NameList>
          <b:Person>
            <b:Last>Potančoková</b:Last>
            <b:First>Michaela</b:First>
          </b:Person>
          <b:Person>
            <b:Last>Šprocha</b:Last>
            <b:First>Branislav</b:First>
          </b:Person>
        </b:NameList>
      </b:Author>
    </b:Author>
    <b:StandardNumber>ISSN 1336-7420</b:StandardNumber>
    <b:Comments>http://www.ssds.sk/casopis/archiv/2012/fss0412.pdf</b:Comments>
    <b:Issue>4/2012</b:Issue>
    <b:PeriodicalTitle>Forum Statisticum Slovacum</b:PeriodicalTitle>
    <b:RefOrder>12</b:RefOrder>
  </b:Source>
  <b:Source>
    <b:Tag>Špr13</b:Tag>
    <b:SourceType>Book</b:SourceType>
    <b:Guid>{244736DE-DAD0-4F69-AFA2-DDEA99854031}</b:Guid>
    <b:Author>
      <b:Author>
        <b:NameList>
          <b:Person>
            <b:Last>Šprocha</b:Last>
            <b:First>Branislav</b:First>
          </b:Person>
        </b:NameList>
      </b:Author>
    </b:Author>
    <b:Title>Transformácia ľudských zdrojov na Slovensku a projekcia ich očakávaného vývoja </b:Title>
    <b:Year>2013</b:Year>
    <b:City>Bratislava </b:City>
    <b:Publisher>EKONÓM</b:Publisher>
    <b:StandardNumber>ISBN 978-80-225-3775-9 </b:StandardNumber>
    <b:RefOrder>13</b:RefOrder>
  </b:Source>
  <b:Source>
    <b:Tag>Bra09</b:Tag>
    <b:SourceType>ArticleInAPeriodical</b:SourceType>
    <b:Guid>{981D4F39-2B6A-453B-A121-35DDEACA2FAC}</b:Guid>
    <b:Author>
      <b:Author>
        <b:NameList>
          <b:Person>
            <b:Last>Šprocha</b:Last>
            <b:First>Branislav</b:First>
          </b:Person>
        </b:NameList>
      </b:Author>
    </b:Author>
    <b:Title>Vzdelanosť a vydelanostná štruktúra populácie Slovenska </b:Title>
    <b:Year>2009</b:Year>
    <b:Volume>1</b:Volume>
    <b:Issue>2</b:Issue>
    <b:PeriodicalTitle>Prognostické práce</b:PeriodicalTitle>
    <b:RefOrder>14</b:RefOrder>
  </b:Source>
  <b:Source>
    <b:Tag>CED12</b:Tag>
    <b:SourceType>Report</b:SourceType>
    <b:Guid>{D9C7FB52-D620-4207-8E18-E36C7A6F3406}</b:Guid>
    <b:Author>
      <b:Author>
        <b:Corporate>CEDEFOP</b:Corporate>
      </b:Author>
    </b:Author>
    <b:Title>Skills supply and demand in Europe  (Methodological framework)</b:Title>
    <b:Year>2012</b:Year>
    <b:StandardNumber>ISBN 978-92-896-1112-1</b:StandardNumber>
    <b:Publisher>Publication Office of the European Union</b:Publisher>
    <b:City>Luxembourg</b:City>
    <b:Department>Research paper No.25</b:Department>
    <b:RefOrder>2</b:RefOrder>
  </b:Source>
  <b:Source>
    <b:Tag>CED10</b:Tag>
    <b:SourceType>Report</b:SourceType>
    <b:Guid>{9090356B-A230-4F28-A227-AAAE376D2852}</b:Guid>
    <b:Author>
      <b:Author>
        <b:Corporate>CEDEFOP</b:Corporate>
      </b:Author>
    </b:Author>
    <b:Title>Skills supply and demand in Europe, Medium-term forecast up to 2020</b:Title>
    <b:Year>2010</b:Year>
    <b:Publisher>European Centre for the Development of Vocational Training, CEDEFOP</b:Publisher>
    <b:City>Thessaloniki</b:City>
    <b:StandardNumber>116</b:StandardNumber>
    <b:RefOrder>8</b:RefOrder>
  </b:Source>
  <b:Source>
    <b:Tag>Cha66</b:Tag>
    <b:SourceType>ArticleInAPeriodical</b:SourceType>
    <b:Guid>{28DF2453-C369-43A2-812B-18C916218F89}</b:Guid>
    <b:Author>
      <b:Author>
        <b:NameList>
          <b:Person>
            <b:Last>Chambers</b:Last>
            <b:First>E.J.</b:First>
          </b:Person>
          <b:Person>
            <b:Last>Gordon</b:Last>
            <b:First>D.F.</b:First>
          </b:Person>
        </b:NameList>
      </b:Author>
    </b:Author>
    <b:Title>Primary products and economic growth: an empirical measurement</b:Title>
    <b:PeriodicalTitle>Journal of Political Economy</b:PeriodicalTitle>
    <b:Year>1966</b:Year>
    <b:Volume>74</b:Volume>
    <b:RefOrder>17</b:RefOrder>
  </b:Source>
  <b:Source>
    <b:Tag>Joh</b:Tag>
    <b:SourceType>Book</b:SourceType>
    <b:Guid>{0AAAAB48-8BB7-4944-AF10-62B4CA9B7037}</b:Guid>
    <b:Author>
      <b:Author>
        <b:NameList>
          <b:Person>
            <b:Last>Johansen</b:Last>
            <b:First>L.</b:First>
          </b:Person>
        </b:NameList>
      </b:Author>
    </b:Author>
    <b:Title>A Multi-Sectoral Study of Economic Growth</b:Title>
    <b:Year>1960</b:Year>
    <b:City>North-Holland</b:City>
    <b:RefOrder>15</b:RefOrder>
  </b:Source>
  <b:Source>
    <b:Tag>Jon65</b:Tag>
    <b:SourceType>ArticleInAPeriodical</b:SourceType>
    <b:Guid>{E668DD8C-0C95-4FB4-9756-EA173CFC0AC9}</b:Guid>
    <b:Title>The structure of simple general equilibrium models</b:Title>
    <b:Year>1965</b:Year>
    <b:Author>
      <b:Author>
        <b:NameList>
          <b:Person>
            <b:Last>Jones</b:Last>
            <b:First>W.</b:First>
          </b:Person>
        </b:NameList>
      </b:Author>
    </b:Author>
    <b:PeriodicalTitle>Journal of Political Economy</b:PeriodicalTitle>
    <b:Volume>73</b:Volume>
    <b:RefOrder>16</b:RefOrder>
  </b:Source>
  <b:Source>
    <b:Tag>Dix02</b:Tag>
    <b:SourceType>Book</b:SourceType>
    <b:Guid>{D7186E7D-4E06-4FF3-A038-1508CFA90D75}</b:Guid>
    <b:Title> Dynamic General Equilibrium Modelling for Forecasting and Policy: a Practical Guide and Documentation of MONASH</b:Title>
    <b:Year>2002</b:Year>
    <b:Author>
      <b:Author>
        <b:NameList>
          <b:Person>
            <b:Last>Dixon</b:Last>
            <b:First>P.</b:First>
          </b:Person>
          <b:Person>
            <b:Last>Rimmer</b:Last>
            <b:First>M.</b:First>
          </b:Person>
        </b:NameList>
      </b:Author>
    </b:Author>
    <b:City>North Holland</b:City>
    <b:RefOrder>19</b:RefOrder>
  </b:Source>
  <b:Source>
    <b:Tag>Lof02</b:Tag>
    <b:SourceType>Book</b:SourceType>
    <b:Guid>{1B7E1519-A442-46BB-B343-0DFF5D3EDB27}</b:Guid>
    <b:Author>
      <b:Author>
        <b:NameList>
          <b:Person>
            <b:Last>Lofgren</b:Last>
            <b:First>H.</b:First>
          </b:Person>
          <b:Person>
            <b:Last>Harris</b:Last>
            <b:First>R.</b:First>
            <b:Middle>L,</b:Middle>
          </b:Person>
          <b:Person>
            <b:Last>Robinson</b:Last>
            <b:First>S.</b:First>
          </b:Person>
        </b:NameList>
      </b:Author>
    </b:Author>
    <b:Title>A standard Computable General Equilibrium (CGE) in GAMS</b:Title>
    <b:Year>2002</b:Year>
    <b:Publisher>International Food Policy Research Institute</b:Publisher>
    <b:RefOrder>18</b:RefOrder>
  </b:Source>
  <b:Source>
    <b:Tag>Buj13</b:Tag>
    <b:SourceType>ArticleInAPeriodical</b:SourceType>
    <b:Guid>{93012EAC-27F1-4E91-9086-920C541BC4D8}</b:Guid>
    <b:Author>
      <b:Author>
        <b:NameList>
          <b:Person>
            <b:Last>Bujňáková</b:Last>
            <b:First>T.</b:First>
          </b:Person>
          <b:Person>
            <b:Last>Štefánik</b:Last>
            <b:First>M.</b:First>
          </b:Person>
        </b:NameList>
      </b:Author>
    </b:Author>
    <b:Title>Projekcie počtu ekonomicky aktívneho obyvateľstva v závislosti od zvyšovania veku odchodu do dôchodku s využitím logit modelu</b:Title>
    <b:City>Bratislava</b:City>
    <b:Year>2013</b:Year>
    <b:Publisher>Ekonomický časopis</b:Publisher>
    <b:Volume>61</b:Volume>
    <b:Issue>10</b:Issue>
    <b:PeriodicalTitle>Ekonomický časopis</b:PeriodicalTitle>
    <b:RefOrder>20</b:RefOrder>
  </b:Source>
</b:Sources>
</file>

<file path=customXml/itemProps1.xml><?xml version="1.0" encoding="utf-8"?>
<ds:datastoreItem xmlns:ds="http://schemas.openxmlformats.org/officeDocument/2006/customXml" ds:itemID="{208A98F7-58DA-446C-B1BB-2A3102C1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Lacková</dc:creator>
  <cp:lastModifiedBy>Stefanik</cp:lastModifiedBy>
  <cp:revision>5</cp:revision>
  <dcterms:created xsi:type="dcterms:W3CDTF">2014-10-14T08:43:00Z</dcterms:created>
  <dcterms:modified xsi:type="dcterms:W3CDTF">2014-10-27T13:57:00Z</dcterms:modified>
</cp:coreProperties>
</file>